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AD" w:rsidRPr="00BC5A28" w:rsidRDefault="004845AD" w:rsidP="004845AD">
      <w:pPr>
        <w:spacing w:line="480" w:lineRule="auto"/>
        <w:outlineLvl w:val="0"/>
        <w:rPr>
          <w:rFonts w:cstheme="minorHAnsi"/>
          <w:b/>
          <w:sz w:val="22"/>
        </w:rPr>
      </w:pPr>
      <w:r w:rsidRPr="00BC5A28">
        <w:rPr>
          <w:rFonts w:cstheme="minorHAnsi"/>
          <w:b/>
          <w:sz w:val="22"/>
        </w:rPr>
        <w:t>Supplementary Table 1. Risk of bias in prospective studies based on the modified Newcastle-Ottawa Scale.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1850"/>
        <w:gridCol w:w="1361"/>
        <w:gridCol w:w="1472"/>
        <w:gridCol w:w="638"/>
        <w:gridCol w:w="856"/>
        <w:gridCol w:w="1850"/>
        <w:gridCol w:w="1308"/>
        <w:gridCol w:w="1154"/>
        <w:gridCol w:w="1168"/>
        <w:gridCol w:w="1159"/>
      </w:tblGrid>
      <w:tr w:rsidR="004845AD" w:rsidRPr="00BC5A28" w:rsidTr="00BC5A28">
        <w:tc>
          <w:tcPr>
            <w:tcW w:w="657" w:type="pct"/>
            <w:vMerge w:val="restart"/>
            <w:tcBorders>
              <w:left w:val="nil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843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CEF357" wp14:editId="105A1A9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188595</wp:posOffset>
                      </wp:positionV>
                      <wp:extent cx="3604260" cy="0"/>
                      <wp:effectExtent l="0" t="0" r="1524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CFD8A" id="直接连接符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4.85pt" to="281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" strokecolor="black [3213]" strokeweight=".5pt"/>
                  </w:pict>
                </mc:Fallback>
              </mc:AlternateContent>
            </w:r>
            <w:r w:rsidRPr="00BC5A2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SELECTION</w:t>
            </w:r>
          </w:p>
        </w:tc>
        <w:tc>
          <w:tcPr>
            <w:tcW w:w="614" w:type="pct"/>
            <w:tcBorders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B9C480" wp14:editId="50B4598F">
                      <wp:simplePos x="0" y="0"/>
                      <wp:positionH relativeFrom="column">
                        <wp:posOffset>1016</wp:posOffset>
                      </wp:positionH>
                      <wp:positionV relativeFrom="paragraph">
                        <wp:posOffset>188595</wp:posOffset>
                      </wp:positionV>
                      <wp:extent cx="1135380" cy="0"/>
                      <wp:effectExtent l="0" t="0" r="2667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18ACF" id="直接连接符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.85pt" to="8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" strokecolor="black [3213]" strokeweight=".5pt"/>
                  </w:pict>
                </mc:Fallback>
              </mc:AlternateContent>
            </w:r>
            <w:r w:rsidRPr="00BC5A2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COMPARABILITY</w:t>
            </w:r>
          </w:p>
        </w:tc>
        <w:tc>
          <w:tcPr>
            <w:tcW w:w="144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DCB4EB" wp14:editId="7B15596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187960</wp:posOffset>
                      </wp:positionV>
                      <wp:extent cx="2720340" cy="0"/>
                      <wp:effectExtent l="0" t="0" r="2286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6C661" id="直接连接符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14.8pt" to="225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" strokecolor="black [3213]" strokeweight=".5pt"/>
                  </w:pict>
                </mc:Fallback>
              </mc:AlternateContent>
            </w:r>
            <w:r w:rsidRPr="00BC5A2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OUTCOME</w:t>
            </w:r>
          </w:p>
        </w:tc>
        <w:tc>
          <w:tcPr>
            <w:tcW w:w="438" w:type="pct"/>
            <w:vMerge w:val="restart"/>
            <w:tcBorders>
              <w:left w:val="nil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Quality Score</w:t>
            </w:r>
          </w:p>
        </w:tc>
      </w:tr>
      <w:tr w:rsidR="004845AD" w:rsidRPr="00BC5A28" w:rsidTr="00BC5A28">
        <w:tc>
          <w:tcPr>
            <w:tcW w:w="65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Representativeness of the Exposed Cohort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Selection of the Non-Exposed Cohort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Ascertainment of Exposure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Demonstration That Outcome of Interest Was Not Present at Start of Study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Comparability of Cohorts on the Basis of the Design or Analysis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Assessment of Outcome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Long Enough</w:t>
            </w:r>
            <w:r w:rsidRPr="00BC5A28" w:rsidDel="0060757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Follow-Up for Outcomes to Occur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Adequacy of Follow-Up of Cohorts</w:t>
            </w:r>
          </w:p>
        </w:tc>
        <w:tc>
          <w:tcPr>
            <w:tcW w:w="43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5AD" w:rsidRPr="00BC5A28" w:rsidTr="00BC5A28"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Ahn et al. 2017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Badoual et al. 2013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Balempas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Ben-Haj-Ayed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Birtalan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Budczies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Chan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Chang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Chen et al. 2015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Chen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Cho et al. 2011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De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Fang et al. 2014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Feng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Fiedler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Hanna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Hong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Hsu et al. 2010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Kansy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Kim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Kim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 xml:space="preserve">Kogashiwa et al. </w:t>
            </w:r>
            <w:r w:rsidRPr="00BC5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Laimer et al. 2011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Larbcharoensub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Lee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Li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Lin et al. 2015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Muller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Ock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Oguejiofor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Oliveira-Costa et al. 2015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Ono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Ono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Ou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Qu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Riobello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2"/>
            <w:r w:rsidRPr="00BC5A28">
              <w:rPr>
                <w:rFonts w:ascii="Times New Roman" w:hAnsi="Times New Roman" w:cs="Times New Roman"/>
                <w:sz w:val="20"/>
                <w:szCs w:val="20"/>
              </w:rPr>
              <w:t xml:space="preserve">Roper </w:t>
            </w:r>
            <w:bookmarkEnd w:id="1"/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Satgunaseelan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Schneider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Seppälä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Solomon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Steuer et al. 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Strati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Straub et al. 2016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Tang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Ukpo et al. 2013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Vassilakopoulou et al. 2015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 et al. 2012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Zhang et al. 2015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Zheng et al. 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45AD" w:rsidRPr="00BC5A28" w:rsidTr="00BC5A28"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Zhu et al. 2017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5AD" w:rsidRPr="00BC5A28" w:rsidRDefault="004845AD" w:rsidP="00FE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845AD" w:rsidRPr="004D0574" w:rsidRDefault="004845AD" w:rsidP="004845AD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845AD" w:rsidRPr="004D0574" w:rsidRDefault="004845AD" w:rsidP="004845AD">
      <w:pPr>
        <w:spacing w:line="480" w:lineRule="auto"/>
        <w:rPr>
          <w:rFonts w:ascii="Times New Roman" w:hAnsi="Times New Roman" w:cs="Times New Roman"/>
          <w:sz w:val="24"/>
        </w:rPr>
      </w:pPr>
    </w:p>
    <w:p w:rsidR="004845AD" w:rsidRPr="004D0574" w:rsidRDefault="004845AD" w:rsidP="004845AD">
      <w:pPr>
        <w:spacing w:line="480" w:lineRule="auto"/>
        <w:rPr>
          <w:rFonts w:ascii="Times New Roman" w:hAnsi="Times New Roman" w:cs="Times New Roman"/>
          <w:sz w:val="24"/>
        </w:rPr>
      </w:pPr>
    </w:p>
    <w:p w:rsidR="00B71B48" w:rsidRDefault="00B71B48"/>
    <w:sectPr w:rsidR="00B71B48" w:rsidSect="00BC5A28">
      <w:pgSz w:w="15840" w:h="12240" w:orient="landscape" w:code="1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4E" w:rsidRDefault="00441A4E" w:rsidP="004845AD">
      <w:r>
        <w:separator/>
      </w:r>
    </w:p>
  </w:endnote>
  <w:endnote w:type="continuationSeparator" w:id="0">
    <w:p w:rsidR="00441A4E" w:rsidRDefault="00441A4E" w:rsidP="0048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4E" w:rsidRDefault="00441A4E" w:rsidP="004845AD">
      <w:r>
        <w:separator/>
      </w:r>
    </w:p>
  </w:footnote>
  <w:footnote w:type="continuationSeparator" w:id="0">
    <w:p w:rsidR="00441A4E" w:rsidRDefault="00441A4E" w:rsidP="0048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8A"/>
    <w:rsid w:val="002D108A"/>
    <w:rsid w:val="00441A4E"/>
    <w:rsid w:val="004845AD"/>
    <w:rsid w:val="00745D16"/>
    <w:rsid w:val="00B71B48"/>
    <w:rsid w:val="00B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5F8AE2-A438-469F-BF65-5CBEC15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5A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45A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4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45AD"/>
    <w:rPr>
      <w:sz w:val="18"/>
      <w:szCs w:val="18"/>
    </w:rPr>
  </w:style>
  <w:style w:type="table" w:styleId="TableGrid">
    <w:name w:val="Table Grid"/>
    <w:basedOn w:val="TableNormal"/>
    <w:uiPriority w:val="59"/>
    <w:rsid w:val="0048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2099</Characters>
  <Application>Microsoft Office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Lenchik</cp:lastModifiedBy>
  <cp:revision>2</cp:revision>
  <dcterms:created xsi:type="dcterms:W3CDTF">2019-01-17T23:33:00Z</dcterms:created>
  <dcterms:modified xsi:type="dcterms:W3CDTF">2019-01-17T23:33:00Z</dcterms:modified>
</cp:coreProperties>
</file>