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33D" w:rsidRPr="00197F06" w:rsidRDefault="0009433D" w:rsidP="0009433D">
      <w:pPr>
        <w:widowControl/>
        <w:wordWrap/>
        <w:spacing w:line="480" w:lineRule="auto"/>
        <w:jc w:val="left"/>
        <w:rPr>
          <w:rFonts w:ascii="Times New Roman" w:hAnsi="Times New Roman" w:cs="Times New Roman"/>
          <w:b/>
          <w:sz w:val="24"/>
          <w:szCs w:val="24"/>
        </w:rPr>
      </w:pPr>
      <w:r w:rsidRPr="00197F06">
        <w:rPr>
          <w:rFonts w:ascii="Times New Roman" w:hAnsi="Times New Roman" w:cs="Times New Roman" w:hint="eastAsia"/>
          <w:b/>
          <w:sz w:val="24"/>
          <w:szCs w:val="24"/>
        </w:rPr>
        <w:t xml:space="preserve">Supplementary </w:t>
      </w:r>
      <w:r w:rsidRPr="00197F06">
        <w:rPr>
          <w:rFonts w:ascii="Times New Roman" w:hAnsi="Times New Roman" w:cs="Times New Roman"/>
          <w:b/>
          <w:sz w:val="24"/>
          <w:szCs w:val="24"/>
        </w:rPr>
        <w:t xml:space="preserve">Table </w:t>
      </w:r>
      <w:r w:rsidRPr="00197F06">
        <w:rPr>
          <w:rFonts w:ascii="Times New Roman" w:hAnsi="Times New Roman" w:cs="Times New Roman" w:hint="eastAsia"/>
          <w:b/>
          <w:sz w:val="24"/>
          <w:szCs w:val="24"/>
        </w:rPr>
        <w:t>2</w:t>
      </w:r>
      <w:r w:rsidRPr="00197F06">
        <w:rPr>
          <w:rFonts w:ascii="Times New Roman" w:hAnsi="Times New Roman" w:cs="Times New Roman"/>
          <w:b/>
          <w:sz w:val="24"/>
          <w:szCs w:val="24"/>
        </w:rPr>
        <w:t>. Definitions of outcomes and variables</w:t>
      </w:r>
      <w:r w:rsidR="008316A3">
        <w:rPr>
          <w:rFonts w:ascii="Times New Roman" w:hAnsi="Times New Roman" w:cs="Times New Roman"/>
          <w:b/>
          <w:sz w:val="24"/>
          <w:szCs w:val="24"/>
        </w:rPr>
        <w:t>.</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21"/>
      </w:tblGrid>
      <w:tr w:rsidR="0009433D" w:rsidRPr="00197F06" w:rsidTr="00437487">
        <w:tc>
          <w:tcPr>
            <w:tcW w:w="4395" w:type="dxa"/>
            <w:tcBorders>
              <w:top w:val="single" w:sz="4" w:space="0" w:color="auto"/>
              <w:bottom w:val="single" w:sz="4" w:space="0" w:color="auto"/>
            </w:tcBorders>
          </w:tcPr>
          <w:p w:rsidR="0009433D" w:rsidRPr="00197F06" w:rsidRDefault="0009433D" w:rsidP="00437487">
            <w:pPr>
              <w:widowControl/>
              <w:wordWrap/>
              <w:spacing w:line="480" w:lineRule="auto"/>
              <w:jc w:val="left"/>
              <w:rPr>
                <w:rFonts w:ascii="Times New Roman" w:hAnsi="Times New Roman" w:cs="Times New Roman"/>
                <w:sz w:val="24"/>
                <w:szCs w:val="24"/>
              </w:rPr>
            </w:pPr>
          </w:p>
        </w:tc>
        <w:tc>
          <w:tcPr>
            <w:tcW w:w="4621" w:type="dxa"/>
            <w:tcBorders>
              <w:top w:val="single" w:sz="4" w:space="0" w:color="auto"/>
              <w:bottom w:val="single" w:sz="4" w:space="0" w:color="auto"/>
            </w:tcBorders>
          </w:tcPr>
          <w:p w:rsidR="0009433D" w:rsidRPr="00197F06" w:rsidRDefault="0009433D" w:rsidP="00437487">
            <w:pPr>
              <w:widowControl/>
              <w:wordWrap/>
              <w:spacing w:line="480" w:lineRule="auto"/>
              <w:jc w:val="left"/>
              <w:rPr>
                <w:rFonts w:ascii="Times New Roman" w:hAnsi="Times New Roman" w:cs="Times New Roman"/>
                <w:b/>
                <w:sz w:val="24"/>
                <w:szCs w:val="24"/>
              </w:rPr>
            </w:pPr>
            <w:r w:rsidRPr="00197F06">
              <w:rPr>
                <w:rFonts w:ascii="Times New Roman" w:hAnsi="Times New Roman" w:cs="Times New Roman"/>
                <w:b/>
                <w:sz w:val="24"/>
                <w:szCs w:val="24"/>
              </w:rPr>
              <w:t>Definitions</w:t>
            </w:r>
          </w:p>
        </w:tc>
      </w:tr>
      <w:tr w:rsidR="0009433D" w:rsidRPr="00197F06" w:rsidTr="00437487">
        <w:tc>
          <w:tcPr>
            <w:tcW w:w="4395" w:type="dxa"/>
            <w:tcBorders>
              <w:top w:val="single" w:sz="4" w:space="0" w:color="auto"/>
            </w:tcBorders>
            <w:vAlign w:val="center"/>
          </w:tcPr>
          <w:p w:rsidR="0009433D" w:rsidRPr="00197F06" w:rsidRDefault="0009433D" w:rsidP="00437487">
            <w:pPr>
              <w:widowControl/>
              <w:wordWrap/>
              <w:spacing w:line="480" w:lineRule="auto"/>
              <w:jc w:val="left"/>
              <w:rPr>
                <w:rFonts w:ascii="Times New Roman" w:hAnsi="Times New Roman" w:cs="Times New Roman"/>
                <w:b/>
                <w:color w:val="000000"/>
                <w:sz w:val="24"/>
                <w:szCs w:val="24"/>
              </w:rPr>
            </w:pPr>
            <w:r w:rsidRPr="00197F06">
              <w:rPr>
                <w:rFonts w:ascii="Times New Roman" w:hAnsi="Times New Roman" w:cs="Times New Roman"/>
                <w:b/>
                <w:color w:val="000000"/>
                <w:sz w:val="24"/>
                <w:szCs w:val="24"/>
              </w:rPr>
              <w:t>Secondary outcomes</w:t>
            </w:r>
          </w:p>
        </w:tc>
        <w:tc>
          <w:tcPr>
            <w:tcW w:w="4621" w:type="dxa"/>
            <w:tcBorders>
              <w:top w:val="single" w:sz="4" w:space="0" w:color="auto"/>
            </w:tcBorders>
            <w:vAlign w:val="center"/>
          </w:tcPr>
          <w:p w:rsidR="0009433D" w:rsidRPr="00197F06" w:rsidRDefault="0009433D" w:rsidP="00437487">
            <w:pPr>
              <w:widowControl/>
              <w:wordWrap/>
              <w:spacing w:line="480" w:lineRule="auto"/>
              <w:jc w:val="left"/>
              <w:rPr>
                <w:rFonts w:ascii="Times New Roman" w:hAnsi="Times New Roman" w:cs="Times New Roman"/>
                <w:color w:val="000000"/>
                <w:sz w:val="24"/>
                <w:szCs w:val="24"/>
              </w:rPr>
            </w:pPr>
          </w:p>
        </w:tc>
      </w:tr>
      <w:tr w:rsidR="0009433D" w:rsidRPr="00197F06" w:rsidTr="00437487">
        <w:tc>
          <w:tcPr>
            <w:tcW w:w="4395" w:type="dxa"/>
            <w:vAlign w:val="center"/>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In-hospital death</w:t>
            </w:r>
          </w:p>
        </w:tc>
        <w:tc>
          <w:tcPr>
            <w:tcW w:w="4621" w:type="dxa"/>
            <w:vAlign w:val="center"/>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All-cause death during the hospital stay or within postoperative day 30 [1]</w:t>
            </w:r>
          </w:p>
        </w:tc>
      </w:tr>
      <w:tr w:rsidR="0009433D" w:rsidRPr="00197F06" w:rsidTr="00437487">
        <w:tc>
          <w:tcPr>
            <w:tcW w:w="4395" w:type="dxa"/>
            <w:vAlign w:val="center"/>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Theme="minorHAnsi" w:hAnsi="Times New Roman" w:cs="Times New Roman"/>
                <w:sz w:val="24"/>
                <w:szCs w:val="24"/>
              </w:rPr>
              <w:t>Prolonged hospital length of stay</w:t>
            </w:r>
          </w:p>
        </w:tc>
        <w:tc>
          <w:tcPr>
            <w:tcW w:w="4621" w:type="dxa"/>
            <w:vAlign w:val="center"/>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Length of hospital stay &gt;14 days [1]</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Theme="minorHAnsi" w:hAnsi="Times New Roman" w:cs="Times New Roman"/>
                <w:sz w:val="24"/>
                <w:szCs w:val="24"/>
              </w:rPr>
              <w:t>Major adverse cardiovascular events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Cardiac arrest, myocardial infarction, low cardiac output syndrome, use of mechanical assist devices, readmission due to heart failure, ventricular tachycardia, or ventricular fibrillation within postoperative day 30</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sz w:val="24"/>
                <w:szCs w:val="24"/>
              </w:rPr>
            </w:pPr>
            <w:r w:rsidRPr="00197F06">
              <w:rPr>
                <w:rFonts w:ascii="Times New Roman" w:eastAsiaTheme="minorHAnsi" w:hAnsi="Times New Roman" w:cs="Times New Roman"/>
                <w:sz w:val="24"/>
                <w:szCs w:val="24"/>
              </w:rPr>
              <w:t>Pulmonary complications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 xml:space="preserve">Mechanical ventilation ≥48 hours, unplanned re-intubation, pneumonia, or acute lung injury within postoperative day 30 </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Theme="minorHAnsi" w:hAnsi="Times New Roman" w:cs="Times New Roman"/>
                <w:sz w:val="24"/>
                <w:szCs w:val="24"/>
              </w:rPr>
              <w:t>Acute kidney injury</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Acute kidney injury according to KDIGO (Kidney Disease Improving Global Outcomes) criteria stage ≥2 within postoperative day 30 [2]</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sz w:val="24"/>
                <w:szCs w:val="24"/>
              </w:rPr>
            </w:pPr>
            <w:r w:rsidRPr="00197F06">
              <w:rPr>
                <w:rFonts w:ascii="Times New Roman" w:eastAsiaTheme="minorHAnsi" w:hAnsi="Times New Roman" w:cs="Times New Roman"/>
                <w:sz w:val="24"/>
                <w:szCs w:val="24"/>
              </w:rPr>
              <w:t>Stroke</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Ischemic stroke as defined by the Neurologic Academic Research Consortium (NeuroARC) class Ia within postoperative day 30 [3]</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sz w:val="24"/>
                <w:szCs w:val="24"/>
              </w:rPr>
            </w:pPr>
            <w:r w:rsidRPr="00197F06">
              <w:rPr>
                <w:rFonts w:ascii="Times New Roman" w:eastAsiaTheme="minorHAnsi" w:hAnsi="Times New Roman" w:cs="Times New Roman"/>
                <w:sz w:val="24"/>
                <w:szCs w:val="24"/>
              </w:rPr>
              <w:t>Gastrointestinal complications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 xml:space="preserve">Abdominal organ ischemia, acute hepatitis/pancreatitis/cholecystitis, intestinal </w:t>
            </w:r>
            <w:r w:rsidRPr="00197F06">
              <w:rPr>
                <w:rFonts w:ascii="Times New Roman" w:hAnsi="Times New Roman" w:cs="Times New Roman"/>
                <w:sz w:val="24"/>
                <w:szCs w:val="24"/>
              </w:rPr>
              <w:lastRenderedPageBreak/>
              <w:t xml:space="preserve">perforation/bleeding, and bowel obstruction within postoperative day 30 </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sz w:val="24"/>
                <w:szCs w:val="24"/>
              </w:rPr>
            </w:pPr>
            <w:r w:rsidRPr="00197F06">
              <w:rPr>
                <w:rFonts w:ascii="Times New Roman" w:eastAsiaTheme="minorHAnsi" w:hAnsi="Times New Roman" w:cs="Times New Roman"/>
                <w:b/>
                <w:sz w:val="24"/>
                <w:szCs w:val="24"/>
              </w:rPr>
              <w:lastRenderedPageBreak/>
              <w:t>Variables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sz w:val="24"/>
                <w:szCs w:val="24"/>
              </w:rPr>
            </w:pPr>
            <w:r w:rsidRPr="00197F06">
              <w:rPr>
                <w:rFonts w:ascii="Times New Roman" w:hAnsi="Times New Roman" w:cs="Times New Roman"/>
                <w:sz w:val="24"/>
                <w:szCs w:val="24"/>
              </w:rPr>
              <w:t>Age (years)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Age of patients at the time of surgery</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b/>
                <w:sz w:val="24"/>
                <w:szCs w:val="24"/>
              </w:rPr>
            </w:pPr>
            <w:r w:rsidRPr="00197F06">
              <w:rPr>
                <w:rFonts w:ascii="Times New Roman" w:hAnsi="Times New Roman" w:cs="Times New Roman"/>
                <w:sz w:val="24"/>
                <w:szCs w:val="24"/>
              </w:rPr>
              <w:t>Female sex</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Number of female sex patients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Theme="minorHAnsi" w:hAnsi="Times New Roman" w:cs="Times New Roman"/>
                <w:b/>
                <w:sz w:val="24"/>
                <w:szCs w:val="24"/>
              </w:rPr>
            </w:pPr>
            <w:r w:rsidRPr="00197F06">
              <w:rPr>
                <w:rFonts w:ascii="Times New Roman" w:hAnsi="Times New Roman" w:cs="Times New Roman"/>
                <w:sz w:val="24"/>
                <w:szCs w:val="24"/>
              </w:rPr>
              <w:t>Body mass index (kg/m</w:t>
            </w:r>
            <w:r w:rsidRPr="00197F06">
              <w:rPr>
                <w:rFonts w:ascii="Times New Roman" w:hAnsi="Times New Roman" w:cs="Times New Roman"/>
                <w:sz w:val="24"/>
                <w:szCs w:val="24"/>
                <w:vertAlign w:val="superscript"/>
              </w:rPr>
              <w:t>2</w:t>
            </w:r>
            <w:r w:rsidRPr="00197F06">
              <w:rPr>
                <w:rFonts w:ascii="Times New Roman" w:hAnsi="Times New Roman" w:cs="Times New Roman"/>
                <w:sz w:val="24"/>
                <w:szCs w:val="24"/>
              </w:rPr>
              <w:t>)</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Body mass divided by the square of the body height</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Diabetes mellitus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color w:val="000000"/>
                <w:sz w:val="24"/>
                <w:szCs w:val="24"/>
              </w:rPr>
              <w:t>Diabetes mellitus requiring oral medication or insulin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Hypertension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Hypertension requiring anti-hypertensive medication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Dyslipidemia</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Dyslipidemia requiring lipid-lowering medication or preoperative low-density lipoprotein 100 mg/dL or higher</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Congestive heart failure</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Symptomatic congestive heart failure</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Coronary revascularization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History of coronary artery bypass or percutaneous coronary intervention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Liver disease</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Liver cirrhosis of any cause, chronic viral hepatitis, toxic hepatitis, non-alcoholic fatty liver disease</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Alcohol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Alcohol &gt;2 drinks/day in 2 weeks before admission (according to American College of Surgeons National Surgical Quality Improvement Program) [4]</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lastRenderedPageBreak/>
              <w:t>Acute coronary syndrome</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 xml:space="preserve">Acute myocardial infarction within two weeks before surgery or resting chest pain at the time of surgery </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Atrial fibrillation</w:t>
            </w:r>
          </w:p>
        </w:tc>
        <w:tc>
          <w:tcPr>
            <w:tcW w:w="4621" w:type="dxa"/>
          </w:tcPr>
          <w:p w:rsidR="0009433D" w:rsidRPr="00197F06" w:rsidRDefault="0009433D" w:rsidP="00437487">
            <w:pPr>
              <w:widowControl/>
              <w:wordWrap/>
              <w:spacing w:line="480" w:lineRule="auto"/>
              <w:jc w:val="left"/>
              <w:rPr>
                <w:rFonts w:ascii="Times New Roman" w:eastAsia="Malgun Gothic" w:hAnsi="Times New Roman" w:cs="Times New Roman"/>
                <w:color w:val="000000"/>
                <w:sz w:val="24"/>
                <w:szCs w:val="24"/>
              </w:rPr>
            </w:pPr>
            <w:r w:rsidRPr="00197F06">
              <w:rPr>
                <w:rFonts w:ascii="Times New Roman" w:hAnsi="Times New Roman" w:cs="Times New Roman"/>
                <w:sz w:val="24"/>
                <w:szCs w:val="24"/>
              </w:rPr>
              <w:t xml:space="preserve">Persistent or paroxysmal atrial fibrillation/flutter </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EuroSCORE (logistic)</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 xml:space="preserve">Predicted mortality according to the </w:t>
            </w:r>
            <w:r w:rsidRPr="00197F06">
              <w:rPr>
                <w:rFonts w:ascii="Times New Roman" w:hAnsi="Times New Roman" w:cs="Times New Roman"/>
                <w:sz w:val="24"/>
                <w:szCs w:val="24"/>
              </w:rPr>
              <w:t>logistic regression model of EuroSCORE [5]</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MELD Xi</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Model for End-stage Liver Disease eXcluding INR score [6]</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Ejection fraction (%)</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Ejection fraction on preoperative echocardiography</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Pulmonary hypertension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Mean pulmonary artery pressure ≥25 mmHg assessed by right heart catheterization, peak tricuspid regurgitation</w:t>
            </w:r>
            <w:r w:rsidRPr="00197F06" w:rsidDel="009E6B20">
              <w:rPr>
                <w:rFonts w:ascii="Times New Roman" w:hAnsi="Times New Roman" w:cs="Times New Roman"/>
                <w:sz w:val="24"/>
                <w:szCs w:val="24"/>
              </w:rPr>
              <w:t xml:space="preserve"> </w:t>
            </w:r>
            <w:r w:rsidRPr="00197F06">
              <w:rPr>
                <w:rFonts w:ascii="Times New Roman" w:hAnsi="Times New Roman" w:cs="Times New Roman"/>
                <w:sz w:val="24"/>
                <w:szCs w:val="24"/>
              </w:rPr>
              <w:t>velocity ≥2.9 m/s or early diastolic pulmonary regurgitation</w:t>
            </w:r>
            <w:r w:rsidRPr="00197F06" w:rsidDel="009E6B20">
              <w:rPr>
                <w:rFonts w:ascii="Times New Roman" w:hAnsi="Times New Roman" w:cs="Times New Roman"/>
                <w:sz w:val="24"/>
                <w:szCs w:val="24"/>
              </w:rPr>
              <w:t xml:space="preserve"> </w:t>
            </w:r>
            <w:r w:rsidRPr="00197F06">
              <w:rPr>
                <w:rFonts w:ascii="Times New Roman" w:hAnsi="Times New Roman" w:cs="Times New Roman"/>
                <w:sz w:val="24"/>
                <w:szCs w:val="24"/>
              </w:rPr>
              <w:t>velocity &gt;2.2 m/s on preoperative echocardiography [7]</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Hematocrit (%)</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hematocrit</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Creatinine (mg/dL)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creatinine</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eGFR (mL/min/1.73 m</w:t>
            </w:r>
            <w:r w:rsidRPr="00197F06">
              <w:rPr>
                <w:rFonts w:ascii="Times New Roman" w:hAnsi="Times New Roman" w:cs="Times New Roman"/>
                <w:sz w:val="24"/>
                <w:szCs w:val="24"/>
                <w:vertAlign w:val="superscript"/>
              </w:rPr>
              <w:t>2</w:t>
            </w:r>
            <w:r w:rsidRPr="00197F06">
              <w:rPr>
                <w:rFonts w:ascii="Times New Roman" w:hAnsi="Times New Roman" w:cs="Times New Roman"/>
                <w:sz w:val="24"/>
                <w:szCs w:val="24"/>
              </w:rPr>
              <w:t>)</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Estimated glomerular filtration rate according to Chronic Kidney Disease Epidemiology Collaboration (CKD-EPI) Equation [8]</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Albumin (g/dL)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albumin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Bilirubin (mg/dL)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total bilirubin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lastRenderedPageBreak/>
              <w:t>Sodium (mmol/L)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sodium</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Uric acid (mg/dL)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uric acid</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C-reactive protein (mg/dL)</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serum C-reactive protein</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ACEI or ARB</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ACEI or ARB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Beta blocker</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beta blocker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Calcium channel blocker</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calcium channel blocker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Diuretics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diuretics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Statin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statin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Insulin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Malgun Gothic" w:hAnsi="Times New Roman" w:cs="Times New Roman"/>
                <w:color w:val="000000"/>
                <w:sz w:val="24"/>
                <w:szCs w:val="24"/>
              </w:rPr>
              <w:t>Patients with insulin medications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Inotropes/vasopressors</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Preoperative inotropes or vasopressors use</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Type of surgery</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Types of cardiovascular surgery; coronary artery bypass graft, isolated cardiac valve surgery, other intracardiac surgery, thoracic aortic surgery, or combined procedure of the above operations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Urgent surgery</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Patients not electively admitted for operation but who require intervention or surgery on the current admission for medical reasons [9]</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eastAsia="BatangChe" w:hAnsi="Times New Roman" w:cs="Times New Roman"/>
                <w:sz w:val="24"/>
                <w:szCs w:val="24"/>
              </w:rPr>
              <w:t>Off-pump surgery</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Surgery without cardiopulmonary bypass</w:t>
            </w:r>
          </w:p>
        </w:tc>
      </w:tr>
      <w:tr w:rsidR="0009433D" w:rsidRPr="00197F06" w:rsidTr="00437487">
        <w:tc>
          <w:tcPr>
            <w:tcW w:w="4395" w:type="dxa"/>
          </w:tcPr>
          <w:p w:rsidR="0009433D" w:rsidRPr="00197F06" w:rsidRDefault="0009433D" w:rsidP="00437487">
            <w:pPr>
              <w:widowControl/>
              <w:wordWrap/>
              <w:spacing w:line="480" w:lineRule="auto"/>
              <w:jc w:val="left"/>
              <w:rPr>
                <w:rFonts w:ascii="Times New Roman" w:eastAsia="BatangChe" w:hAnsi="Times New Roman" w:cs="Times New Roman"/>
                <w:sz w:val="24"/>
                <w:szCs w:val="24"/>
              </w:rPr>
            </w:pPr>
            <w:r w:rsidRPr="00197F06">
              <w:rPr>
                <w:rFonts w:ascii="Times New Roman" w:eastAsia="Malgun Gothic" w:hAnsi="Times New Roman" w:cs="Times New Roman"/>
                <w:kern w:val="0"/>
                <w:sz w:val="24"/>
                <w:szCs w:val="24"/>
              </w:rPr>
              <w:t>Operation time (min)</w:t>
            </w:r>
          </w:p>
        </w:tc>
        <w:tc>
          <w:tcPr>
            <w:tcW w:w="4621" w:type="dxa"/>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Duration of operation</w:t>
            </w:r>
          </w:p>
        </w:tc>
      </w:tr>
      <w:tr w:rsidR="0009433D" w:rsidRPr="00197F06" w:rsidTr="00437487">
        <w:tc>
          <w:tcPr>
            <w:tcW w:w="4395" w:type="dxa"/>
            <w:tcBorders>
              <w:bottom w:val="single" w:sz="4" w:space="0" w:color="auto"/>
            </w:tcBorders>
          </w:tcPr>
          <w:p w:rsidR="0009433D" w:rsidRPr="00197F06" w:rsidRDefault="0009433D" w:rsidP="00437487">
            <w:pPr>
              <w:widowControl/>
              <w:wordWrap/>
              <w:spacing w:line="480" w:lineRule="auto"/>
              <w:jc w:val="left"/>
              <w:rPr>
                <w:rFonts w:ascii="Times New Roman" w:eastAsia="Malgun Gothic" w:hAnsi="Times New Roman" w:cs="Times New Roman"/>
                <w:kern w:val="0"/>
                <w:sz w:val="24"/>
                <w:szCs w:val="24"/>
              </w:rPr>
            </w:pPr>
            <w:r w:rsidRPr="00197F06">
              <w:rPr>
                <w:rFonts w:ascii="Times New Roman" w:hAnsi="Times New Roman" w:cs="Times New Roman"/>
                <w:sz w:val="24"/>
                <w:szCs w:val="24"/>
              </w:rPr>
              <w:t>CPB time (min)</w:t>
            </w:r>
          </w:p>
        </w:tc>
        <w:tc>
          <w:tcPr>
            <w:tcW w:w="4621" w:type="dxa"/>
            <w:tcBorders>
              <w:bottom w:val="single" w:sz="4" w:space="0" w:color="auto"/>
            </w:tcBorders>
          </w:tcPr>
          <w:p w:rsidR="0009433D" w:rsidRPr="00197F06" w:rsidRDefault="0009433D" w:rsidP="00437487">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Duration of cardiopulmonary bypass</w:t>
            </w:r>
          </w:p>
        </w:tc>
      </w:tr>
    </w:tbl>
    <w:p w:rsidR="00FE59E5" w:rsidRDefault="0009433D" w:rsidP="0009433D">
      <w:pPr>
        <w:widowControl/>
        <w:wordWrap/>
        <w:spacing w:line="480" w:lineRule="auto"/>
        <w:jc w:val="left"/>
        <w:rPr>
          <w:rFonts w:ascii="Times New Roman" w:hAnsi="Times New Roman" w:cs="Times New Roman"/>
          <w:sz w:val="24"/>
          <w:szCs w:val="24"/>
        </w:rPr>
      </w:pPr>
      <w:r w:rsidRPr="00197F06">
        <w:rPr>
          <w:rFonts w:ascii="Times New Roman" w:hAnsi="Times New Roman" w:cs="Times New Roman"/>
          <w:sz w:val="24"/>
          <w:szCs w:val="24"/>
        </w:rPr>
        <w:t>EuroSCORE = The European System for Cardiac Operative Risk Evaluation; MELD Xi = Model for End-stage Liver Disease eXcluding INR; eGFR = estimated glomerular filtration rate; ACEI = angiotensin-converting enzyme inhibitor; ARB = angiotensin receptor blocker; CPB = Cardiopulmonary bypass.</w:t>
      </w:r>
    </w:p>
    <w:p w:rsidR="00133EB8"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lastRenderedPageBreak/>
        <w:t>Shahian DM, Jacobs JP, Badhwar V, Kurlansky P</w:t>
      </w:r>
      <w:r w:rsidR="002E1DAF" w:rsidRPr="00AB7AB0">
        <w:rPr>
          <w:rFonts w:ascii="Arial" w:eastAsia="Times New Roman" w:hAnsi="Arial" w:cs="Arial"/>
          <w:color w:val="000000"/>
          <w:sz w:val="21"/>
          <w:szCs w:val="21"/>
        </w:rPr>
        <w:t>A, Furnary AP, Cleveland JC Jr</w:t>
      </w:r>
      <w:r w:rsidRPr="00AB7AB0">
        <w:rPr>
          <w:rFonts w:ascii="Arial" w:eastAsia="Times New Roman" w:hAnsi="Arial" w:cs="Arial"/>
          <w:color w:val="000000"/>
          <w:sz w:val="21"/>
          <w:szCs w:val="21"/>
        </w:rPr>
        <w:t>, Lobdell KW, Vassileva C, Wyler von Ballmoos MC, Thourani VH, Rankin JS, Edgerton JR, D'Agostino RS, et al. The Society of Thoracic Surgeons 2018 Adult Cardiac Surgery Risk Models: Part 1-Background, Design Considerations, and Model Development. The Annals of Thoracic Surgery. 2018; 105:1411</w:t>
      </w:r>
      <w:r w:rsidR="002E1DAF" w:rsidRPr="00AB7AB0">
        <w:rPr>
          <w:rFonts w:ascii="Arial" w:eastAsia="Times New Roman" w:hAnsi="Arial" w:cs="Arial"/>
          <w:color w:val="000000"/>
          <w:sz w:val="21"/>
          <w:szCs w:val="21"/>
        </w:rPr>
        <w:t>–</w:t>
      </w:r>
      <w:r w:rsidRPr="00AB7AB0">
        <w:rPr>
          <w:rFonts w:ascii="Arial" w:eastAsia="Times New Roman" w:hAnsi="Arial" w:cs="Arial"/>
          <w:color w:val="000000"/>
          <w:sz w:val="21"/>
          <w:szCs w:val="21"/>
        </w:rPr>
        <w:t>1418.</w:t>
      </w:r>
    </w:p>
    <w:p w:rsidR="00852B7E" w:rsidRPr="00AB7AB0" w:rsidRDefault="008316A3" w:rsidP="00AB7AB0">
      <w:pPr>
        <w:spacing w:after="0" w:line="240" w:lineRule="auto"/>
        <w:ind w:left="360" w:firstLine="360"/>
        <w:rPr>
          <w:rFonts w:ascii="Arial" w:eastAsia="Times New Roman" w:hAnsi="Arial" w:cs="Arial"/>
          <w:color w:val="000000"/>
          <w:sz w:val="21"/>
          <w:szCs w:val="21"/>
        </w:rPr>
      </w:pPr>
      <w:hyperlink r:id="rId6" w:tgtFrame="_blank" w:history="1">
        <w:r w:rsidR="00852B7E" w:rsidRPr="00AB7AB0">
          <w:rPr>
            <w:rFonts w:ascii="Arial" w:eastAsia="Times New Roman" w:hAnsi="Arial" w:cs="Arial"/>
            <w:color w:val="0000FF"/>
            <w:sz w:val="21"/>
            <w:szCs w:val="21"/>
            <w:u w:val="single"/>
          </w:rPr>
          <w:t>https://doi.org/10.1016/j.athoracsur.2018.03.002</w:t>
        </w:r>
      </w:hyperlink>
      <w:r w:rsidR="00ED7C70" w:rsidRPr="00AB7AB0">
        <w:rPr>
          <w:rFonts w:ascii="Arial" w:eastAsia="Times New Roman" w:hAnsi="Arial" w:cs="Arial"/>
          <w:color w:val="0000FF"/>
          <w:sz w:val="21"/>
          <w:szCs w:val="21"/>
        </w:rPr>
        <w:t xml:space="preserve"> </w:t>
      </w:r>
      <w:hyperlink r:id="rId7" w:history="1">
        <w:r w:rsidR="00AB7AB0" w:rsidRPr="00EC4903">
          <w:rPr>
            <w:rStyle w:val="Hyperlink"/>
            <w:rFonts w:ascii="Arial" w:eastAsia="Times New Roman" w:hAnsi="Arial" w:cs="Arial"/>
            <w:color w:val="auto"/>
            <w:sz w:val="21"/>
            <w:szCs w:val="21"/>
            <w:u w:val="none"/>
          </w:rPr>
          <w:t>PMID:</w:t>
        </w:r>
        <w:r w:rsidR="00852B7E" w:rsidRPr="00EC4903">
          <w:rPr>
            <w:rStyle w:val="Hyperlink"/>
            <w:rFonts w:ascii="Arial" w:eastAsia="Times New Roman" w:hAnsi="Arial" w:cs="Arial"/>
            <w:sz w:val="21"/>
            <w:szCs w:val="21"/>
          </w:rPr>
          <w:t>29577925</w:t>
        </w:r>
      </w:hyperlink>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Khwaja A. KDIGO Clinical Practice Guidelines for Acute Kidney Injury. Nephron</w:t>
      </w:r>
      <w:r w:rsidR="00AB7AB0">
        <w:rPr>
          <w:rFonts w:ascii="Arial" w:eastAsia="Times New Roman" w:hAnsi="Arial" w:cs="Arial"/>
          <w:color w:val="000000"/>
          <w:sz w:val="21"/>
          <w:szCs w:val="21"/>
        </w:rPr>
        <w:t xml:space="preserve"> Clinical Practice. 2012; 120</w:t>
      </w:r>
      <w:r w:rsidRPr="00AB7AB0">
        <w:rPr>
          <w:rFonts w:ascii="Arial" w:eastAsia="Times New Roman" w:hAnsi="Arial" w:cs="Arial"/>
          <w:color w:val="000000"/>
          <w:sz w:val="21"/>
          <w:szCs w:val="21"/>
        </w:rPr>
        <w:t>:c179</w:t>
      </w:r>
      <w:r w:rsidR="00AB7AB0">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c184. </w:t>
      </w:r>
    </w:p>
    <w:p w:rsidR="00852B7E" w:rsidRPr="00AB7AB0" w:rsidRDefault="00AB7AB0" w:rsidP="00AB7AB0">
      <w:pPr>
        <w:spacing w:after="0" w:line="240" w:lineRule="auto"/>
        <w:ind w:left="360" w:firstLine="360"/>
        <w:rPr>
          <w:rFonts w:ascii="Arial" w:eastAsia="Times New Roman" w:hAnsi="Arial" w:cs="Arial"/>
          <w:color w:val="000000"/>
          <w:sz w:val="21"/>
          <w:szCs w:val="21"/>
        </w:rPr>
      </w:pPr>
      <w:hyperlink r:id="rId8" w:history="1">
        <w:r w:rsidRPr="0059316E">
          <w:rPr>
            <w:rStyle w:val="Hyperlink"/>
            <w:rFonts w:ascii="Arial" w:eastAsia="Times New Roman" w:hAnsi="Arial" w:cs="Arial"/>
            <w:sz w:val="21"/>
            <w:szCs w:val="21"/>
          </w:rPr>
          <w:t>https://doi.org/10.1159/000339789</w:t>
        </w:r>
      </w:hyperlink>
      <w:r w:rsidR="00ED7C70" w:rsidRPr="00AB7AB0">
        <w:rPr>
          <w:rFonts w:ascii="Arial" w:eastAsia="Times New Roman" w:hAnsi="Arial" w:cs="Arial"/>
          <w:color w:val="0000FF"/>
          <w:sz w:val="21"/>
          <w:szCs w:val="21"/>
        </w:rPr>
        <w:t xml:space="preserve"> </w:t>
      </w:r>
      <w:hyperlink r:id="rId9" w:history="1">
        <w:r w:rsidRPr="00BD2581">
          <w:rPr>
            <w:rStyle w:val="Hyperlink"/>
            <w:rFonts w:ascii="Arial" w:eastAsia="Times New Roman" w:hAnsi="Arial" w:cs="Arial"/>
            <w:color w:val="auto"/>
            <w:sz w:val="21"/>
            <w:szCs w:val="21"/>
            <w:u w:val="none"/>
          </w:rPr>
          <w:t>PMID:</w:t>
        </w:r>
        <w:r w:rsidR="00852B7E" w:rsidRPr="00BD2581">
          <w:rPr>
            <w:rStyle w:val="Hyperlink"/>
            <w:rFonts w:ascii="Arial" w:eastAsia="Times New Roman" w:hAnsi="Arial" w:cs="Arial"/>
            <w:sz w:val="21"/>
            <w:szCs w:val="21"/>
          </w:rPr>
          <w:t>22890468</w:t>
        </w:r>
      </w:hyperlink>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Lansky AJ, Messe SR, Brickman AM, Dwyer M, van der Worp HB, Lazar RM, Pietras CG, Abrams KJ, McFadden E, Petersen NH, Browndyke J, Prendergast B, Ng VG, et al. Proposed Standardized Neurological Endpoints for Cardiovascular Clinical Trials: An Academic Research Consortium Initiative. Journal of the American Co</w:t>
      </w:r>
      <w:r w:rsidR="00CB5E55">
        <w:rPr>
          <w:rFonts w:ascii="Arial" w:eastAsia="Times New Roman" w:hAnsi="Arial" w:cs="Arial"/>
          <w:color w:val="000000"/>
          <w:sz w:val="21"/>
          <w:szCs w:val="21"/>
        </w:rPr>
        <w:t>llege of Cardiology. 2017; 69</w:t>
      </w:r>
      <w:r w:rsidRPr="00AB7AB0">
        <w:rPr>
          <w:rFonts w:ascii="Arial" w:eastAsia="Times New Roman" w:hAnsi="Arial" w:cs="Arial"/>
          <w:color w:val="000000"/>
          <w:sz w:val="21"/>
          <w:szCs w:val="21"/>
        </w:rPr>
        <w:t>:679</w:t>
      </w:r>
      <w:r w:rsidR="00CB5E55">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691. </w:t>
      </w:r>
    </w:p>
    <w:p w:rsidR="00852B7E" w:rsidRPr="00AB7AB0" w:rsidRDefault="00AB7AB0" w:rsidP="00AB7AB0">
      <w:pPr>
        <w:spacing w:after="0" w:line="240" w:lineRule="auto"/>
        <w:ind w:firstLine="720"/>
        <w:rPr>
          <w:rFonts w:ascii="Arial" w:eastAsia="Times New Roman" w:hAnsi="Arial" w:cs="Arial"/>
          <w:color w:val="000000"/>
          <w:sz w:val="21"/>
          <w:szCs w:val="21"/>
        </w:rPr>
      </w:pPr>
      <w:hyperlink r:id="rId10" w:history="1">
        <w:r w:rsidRPr="0059316E">
          <w:rPr>
            <w:rStyle w:val="Hyperlink"/>
            <w:rFonts w:ascii="Arial" w:eastAsia="Times New Roman" w:hAnsi="Arial" w:cs="Arial"/>
            <w:sz w:val="21"/>
            <w:szCs w:val="21"/>
          </w:rPr>
          <w:t>https://doi.org/10.1016/j.jacc.2016.11.045</w:t>
        </w:r>
      </w:hyperlink>
      <w:r w:rsidR="00ED7C70" w:rsidRPr="00AB7AB0">
        <w:rPr>
          <w:rFonts w:ascii="Arial" w:eastAsia="Times New Roman" w:hAnsi="Arial" w:cs="Arial"/>
          <w:color w:val="0000FF"/>
          <w:sz w:val="21"/>
          <w:szCs w:val="21"/>
        </w:rPr>
        <w:t xml:space="preserve"> </w:t>
      </w:r>
      <w:hyperlink r:id="rId11" w:history="1">
        <w:r w:rsidRPr="00B0527E">
          <w:rPr>
            <w:rStyle w:val="Hyperlink"/>
            <w:rFonts w:ascii="Arial" w:eastAsia="Times New Roman" w:hAnsi="Arial" w:cs="Arial"/>
            <w:color w:val="auto"/>
            <w:sz w:val="21"/>
            <w:szCs w:val="21"/>
            <w:u w:val="none"/>
          </w:rPr>
          <w:t>PMID:</w:t>
        </w:r>
        <w:r w:rsidR="00852B7E" w:rsidRPr="00B0527E">
          <w:rPr>
            <w:rStyle w:val="Hyperlink"/>
            <w:rFonts w:ascii="Arial" w:eastAsia="Times New Roman" w:hAnsi="Arial" w:cs="Arial"/>
            <w:sz w:val="21"/>
            <w:szCs w:val="21"/>
          </w:rPr>
          <w:t>28183511</w:t>
        </w:r>
      </w:hyperlink>
    </w:p>
    <w:p w:rsidR="00852B7E"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Temraz S, Tamim H, Mailhac A, and Taher A. Could sodium imbalances predispose to postoperative venous thromboembolism? An analysis of the NSQIP database.</w:t>
      </w:r>
      <w:r w:rsidR="008172B8">
        <w:rPr>
          <w:rFonts w:ascii="Arial" w:eastAsia="Times New Roman" w:hAnsi="Arial" w:cs="Arial"/>
          <w:color w:val="000000"/>
          <w:sz w:val="21"/>
          <w:szCs w:val="21"/>
        </w:rPr>
        <w:t xml:space="preserve"> Thrombosis Journal. 2018; 16</w:t>
      </w:r>
      <w:r w:rsidRPr="00AB7AB0">
        <w:rPr>
          <w:rFonts w:ascii="Arial" w:eastAsia="Times New Roman" w:hAnsi="Arial" w:cs="Arial"/>
          <w:color w:val="000000"/>
          <w:sz w:val="21"/>
          <w:szCs w:val="21"/>
        </w:rPr>
        <w:t xml:space="preserve">:11. </w:t>
      </w:r>
      <w:hyperlink r:id="rId12" w:tgtFrame="_blank" w:history="1">
        <w:r w:rsidRPr="00AB7AB0">
          <w:rPr>
            <w:rFonts w:ascii="Arial" w:eastAsia="Times New Roman" w:hAnsi="Arial" w:cs="Arial"/>
            <w:color w:val="0000FF"/>
            <w:sz w:val="21"/>
            <w:szCs w:val="21"/>
            <w:u w:val="single"/>
          </w:rPr>
          <w:t>https://doi.org/10.1186/s12959-018-0165-5</w:t>
        </w:r>
      </w:hyperlink>
      <w:r w:rsidR="00ED7C70" w:rsidRPr="00AB7AB0">
        <w:rPr>
          <w:rFonts w:ascii="Arial" w:eastAsia="Times New Roman" w:hAnsi="Arial" w:cs="Arial"/>
          <w:color w:val="0000FF"/>
          <w:sz w:val="21"/>
          <w:szCs w:val="21"/>
        </w:rPr>
        <w:t xml:space="preserve"> </w:t>
      </w:r>
      <w:hyperlink r:id="rId13" w:history="1">
        <w:r w:rsidR="00AB7AB0" w:rsidRPr="00337A0A">
          <w:rPr>
            <w:rStyle w:val="Hyperlink"/>
            <w:rFonts w:ascii="Arial" w:eastAsia="Times New Roman" w:hAnsi="Arial" w:cs="Arial"/>
            <w:color w:val="auto"/>
            <w:sz w:val="21"/>
            <w:szCs w:val="21"/>
            <w:u w:val="none"/>
          </w:rPr>
          <w:t>PMID:</w:t>
        </w:r>
        <w:r w:rsidRPr="00337A0A">
          <w:rPr>
            <w:rStyle w:val="Hyperlink"/>
            <w:rFonts w:ascii="Arial" w:eastAsia="Times New Roman" w:hAnsi="Arial" w:cs="Arial"/>
            <w:sz w:val="21"/>
            <w:szCs w:val="21"/>
          </w:rPr>
          <w:t>29988709</w:t>
        </w:r>
      </w:hyperlink>
      <w:r w:rsidRPr="00AB7AB0">
        <w:rPr>
          <w:rFonts w:ascii="Arial" w:eastAsia="Times New Roman" w:hAnsi="Arial" w:cs="Arial"/>
          <w:color w:val="000000"/>
          <w:sz w:val="21"/>
          <w:szCs w:val="21"/>
        </w:rPr>
        <w:t xml:space="preserve"> </w:t>
      </w:r>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Roques F, Michel P, Goldstone AR, and Nashef SAM. The logistic EuroSCORE. Eur</w:t>
      </w:r>
      <w:r w:rsidR="008172B8">
        <w:rPr>
          <w:rFonts w:ascii="Arial" w:eastAsia="Times New Roman" w:hAnsi="Arial" w:cs="Arial"/>
          <w:color w:val="000000"/>
          <w:sz w:val="21"/>
          <w:szCs w:val="21"/>
        </w:rPr>
        <w:t>opean Heart Journal. 2003; 24</w:t>
      </w:r>
      <w:r w:rsidRPr="00AB7AB0">
        <w:rPr>
          <w:rFonts w:ascii="Arial" w:eastAsia="Times New Roman" w:hAnsi="Arial" w:cs="Arial"/>
          <w:color w:val="000000"/>
          <w:sz w:val="21"/>
          <w:szCs w:val="21"/>
        </w:rPr>
        <w:t>:882</w:t>
      </w:r>
      <w:r w:rsidR="008172B8">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883. </w:t>
      </w:r>
    </w:p>
    <w:p w:rsidR="00852B7E" w:rsidRPr="00AB7AB0" w:rsidRDefault="00AB7AB0" w:rsidP="00AB7AB0">
      <w:pPr>
        <w:spacing w:after="0" w:line="240" w:lineRule="auto"/>
        <w:ind w:firstLine="720"/>
        <w:rPr>
          <w:rFonts w:ascii="Arial" w:eastAsia="Times New Roman" w:hAnsi="Arial" w:cs="Arial"/>
          <w:color w:val="000000"/>
          <w:sz w:val="21"/>
          <w:szCs w:val="21"/>
        </w:rPr>
      </w:pPr>
      <w:hyperlink r:id="rId14" w:history="1">
        <w:r w:rsidRPr="0059316E">
          <w:rPr>
            <w:rStyle w:val="Hyperlink"/>
            <w:rFonts w:ascii="Arial" w:eastAsia="Times New Roman" w:hAnsi="Arial" w:cs="Arial"/>
            <w:sz w:val="21"/>
            <w:szCs w:val="21"/>
          </w:rPr>
          <w:t>https://doi.org/10.1016/S0195-668X(02)00799-6</w:t>
        </w:r>
      </w:hyperlink>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Heuman DM, Mihas AA, Habib A, Gilles HS, Stravitz RT, Sanyal AJ, and Fisher RA. MELD-XI: a rational approach to "sickest first" liver transplantation in cirrhotic patients requiring anticoagulant therapy. Li</w:t>
      </w:r>
      <w:r w:rsidR="008172B8">
        <w:rPr>
          <w:rFonts w:ascii="Arial" w:eastAsia="Times New Roman" w:hAnsi="Arial" w:cs="Arial"/>
          <w:color w:val="000000"/>
          <w:sz w:val="21"/>
          <w:szCs w:val="21"/>
        </w:rPr>
        <w:t>ver Transplantation. 2007; 13</w:t>
      </w:r>
      <w:r w:rsidRPr="00AB7AB0">
        <w:rPr>
          <w:rFonts w:ascii="Arial" w:eastAsia="Times New Roman" w:hAnsi="Arial" w:cs="Arial"/>
          <w:color w:val="000000"/>
          <w:sz w:val="21"/>
          <w:szCs w:val="21"/>
        </w:rPr>
        <w:t>:30</w:t>
      </w:r>
      <w:r w:rsidR="008172B8">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37. </w:t>
      </w:r>
    </w:p>
    <w:p w:rsidR="00852B7E" w:rsidRPr="00AB7AB0" w:rsidRDefault="00AB7AB0" w:rsidP="00AB7AB0">
      <w:pPr>
        <w:spacing w:after="0" w:line="240" w:lineRule="auto"/>
        <w:ind w:left="360" w:firstLine="360"/>
        <w:rPr>
          <w:rFonts w:ascii="Arial" w:eastAsia="Times New Roman" w:hAnsi="Arial" w:cs="Arial"/>
          <w:color w:val="000000"/>
          <w:sz w:val="21"/>
          <w:szCs w:val="21"/>
        </w:rPr>
      </w:pPr>
      <w:hyperlink r:id="rId15" w:history="1">
        <w:r w:rsidRPr="0059316E">
          <w:rPr>
            <w:rStyle w:val="Hyperlink"/>
            <w:rFonts w:ascii="Arial" w:eastAsia="Times New Roman" w:hAnsi="Arial" w:cs="Arial"/>
            <w:sz w:val="21"/>
            <w:szCs w:val="21"/>
          </w:rPr>
          <w:t>https://doi.org/10.1002/lt.20906</w:t>
        </w:r>
      </w:hyperlink>
      <w:r w:rsidR="00ED7C70" w:rsidRPr="00AB7AB0">
        <w:rPr>
          <w:rFonts w:ascii="Arial" w:eastAsia="Times New Roman" w:hAnsi="Arial" w:cs="Arial"/>
          <w:color w:val="0000FF"/>
          <w:sz w:val="21"/>
          <w:szCs w:val="21"/>
        </w:rPr>
        <w:t xml:space="preserve"> </w:t>
      </w:r>
      <w:hyperlink r:id="rId16" w:history="1">
        <w:r w:rsidRPr="00186498">
          <w:rPr>
            <w:rStyle w:val="Hyperlink"/>
            <w:rFonts w:ascii="Arial" w:eastAsia="Times New Roman" w:hAnsi="Arial" w:cs="Arial"/>
            <w:color w:val="auto"/>
            <w:sz w:val="21"/>
            <w:szCs w:val="21"/>
            <w:u w:val="none"/>
          </w:rPr>
          <w:t>PMID:</w:t>
        </w:r>
        <w:r w:rsidR="00852B7E" w:rsidRPr="00186498">
          <w:rPr>
            <w:rStyle w:val="Hyperlink"/>
            <w:rFonts w:ascii="Arial" w:eastAsia="Times New Roman" w:hAnsi="Arial" w:cs="Arial"/>
            <w:sz w:val="21"/>
            <w:szCs w:val="21"/>
          </w:rPr>
          <w:t>17154400</w:t>
        </w:r>
      </w:hyperlink>
    </w:p>
    <w:p w:rsidR="00852B7E"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Torbicki A, Peacock A, Vonk Noordegraaf A, Ghofrani A, Hansmann G, Simonneau G, Lang I, Vachiery J-L, Pierard LA, Matucci M, Hoeper M, Beghetti M, Zompatori M, et al. 2015 ESC/ERS Guidelines for the diagnosis and treatment of pulmonary hypertension: The Joint Task Force for the Diagnosis and Treatment of Pulmonary Hypertension of the European Society of Cardiology (ESC) and the European Respiratory Society (ERS): Endorsed by: Association for European Paediatric and Congenital Cardiology (AEPC), International Society for Heart and Lung Transplantation (ISHLT). Eur</w:t>
      </w:r>
      <w:r w:rsidR="005A3EE6">
        <w:rPr>
          <w:rFonts w:ascii="Arial" w:eastAsia="Times New Roman" w:hAnsi="Arial" w:cs="Arial"/>
          <w:color w:val="000000"/>
          <w:sz w:val="21"/>
          <w:szCs w:val="21"/>
        </w:rPr>
        <w:t>opean Heart Journal. 2015; 37</w:t>
      </w:r>
      <w:r w:rsidRPr="00AB7AB0">
        <w:rPr>
          <w:rFonts w:ascii="Arial" w:eastAsia="Times New Roman" w:hAnsi="Arial" w:cs="Arial"/>
          <w:color w:val="000000"/>
          <w:sz w:val="21"/>
          <w:szCs w:val="21"/>
        </w:rPr>
        <w:t>:67</w:t>
      </w:r>
      <w:r w:rsidR="005A3EE6">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119. </w:t>
      </w:r>
      <w:hyperlink r:id="rId17" w:tgtFrame="_blank" w:history="1">
        <w:r w:rsidRPr="00AB7AB0">
          <w:rPr>
            <w:rFonts w:ascii="Arial" w:eastAsia="Times New Roman" w:hAnsi="Arial" w:cs="Arial"/>
            <w:color w:val="0000FF"/>
            <w:sz w:val="21"/>
            <w:szCs w:val="21"/>
            <w:u w:val="single"/>
          </w:rPr>
          <w:t>https://doi.org/10.1093/eurheartj/ehv317</w:t>
        </w:r>
      </w:hyperlink>
      <w:r w:rsidR="00ED7C70" w:rsidRPr="00AB7AB0">
        <w:rPr>
          <w:rFonts w:ascii="Arial" w:eastAsia="Times New Roman" w:hAnsi="Arial" w:cs="Arial"/>
          <w:color w:val="0000FF"/>
          <w:sz w:val="21"/>
          <w:szCs w:val="21"/>
        </w:rPr>
        <w:t xml:space="preserve"> </w:t>
      </w:r>
      <w:hyperlink r:id="rId18" w:history="1">
        <w:r w:rsidR="00AB7AB0" w:rsidRPr="00186498">
          <w:rPr>
            <w:rStyle w:val="Hyperlink"/>
            <w:rFonts w:ascii="Arial" w:eastAsia="Times New Roman" w:hAnsi="Arial" w:cs="Arial"/>
            <w:color w:val="auto"/>
            <w:sz w:val="21"/>
            <w:szCs w:val="21"/>
            <w:u w:val="none"/>
          </w:rPr>
          <w:t>PMID:</w:t>
        </w:r>
        <w:r w:rsidRPr="00186498">
          <w:rPr>
            <w:rStyle w:val="Hyperlink"/>
            <w:rFonts w:ascii="Arial" w:eastAsia="Times New Roman" w:hAnsi="Arial" w:cs="Arial"/>
            <w:sz w:val="21"/>
            <w:szCs w:val="21"/>
          </w:rPr>
          <w:t>26320113</w:t>
        </w:r>
      </w:hyperlink>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Levey AS, Stevens LA, Schmid CH, Zhang YL, Castro AF, 3rd, Feldman HI, Kusek JW, Eggers P, Van Lente F, Greene T, and Coresh J. A New Equation to Estimate Glomerular Filtration Rate. Annals of</w:t>
      </w:r>
      <w:r w:rsidR="005A3EE6">
        <w:rPr>
          <w:rFonts w:ascii="Arial" w:eastAsia="Times New Roman" w:hAnsi="Arial" w:cs="Arial"/>
          <w:color w:val="000000"/>
          <w:sz w:val="21"/>
          <w:szCs w:val="21"/>
        </w:rPr>
        <w:t xml:space="preserve"> Internal Medicine. 2009; 150</w:t>
      </w:r>
      <w:r w:rsidRPr="00AB7AB0">
        <w:rPr>
          <w:rFonts w:ascii="Arial" w:eastAsia="Times New Roman" w:hAnsi="Arial" w:cs="Arial"/>
          <w:color w:val="000000"/>
          <w:sz w:val="21"/>
          <w:szCs w:val="21"/>
        </w:rPr>
        <w:t>:604</w:t>
      </w:r>
      <w:r w:rsidR="005A3EE6">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612. </w:t>
      </w:r>
    </w:p>
    <w:p w:rsidR="00852B7E" w:rsidRPr="00AB7AB0" w:rsidRDefault="00AB7AB0" w:rsidP="00AB7AB0">
      <w:pPr>
        <w:spacing w:after="0" w:line="240" w:lineRule="auto"/>
        <w:ind w:left="360" w:firstLine="360"/>
        <w:rPr>
          <w:rFonts w:ascii="Arial" w:eastAsia="Times New Roman" w:hAnsi="Arial" w:cs="Arial"/>
          <w:color w:val="000000"/>
          <w:sz w:val="21"/>
          <w:szCs w:val="21"/>
        </w:rPr>
      </w:pPr>
      <w:hyperlink r:id="rId19" w:history="1">
        <w:r w:rsidRPr="0059316E">
          <w:rPr>
            <w:rStyle w:val="Hyperlink"/>
            <w:rFonts w:ascii="Arial" w:eastAsia="Times New Roman" w:hAnsi="Arial" w:cs="Arial"/>
            <w:sz w:val="21"/>
            <w:szCs w:val="21"/>
          </w:rPr>
          <w:t>https://doi.org/10.7326/0003-4819-150-9-200905050-00006</w:t>
        </w:r>
      </w:hyperlink>
      <w:r w:rsidR="005A3EE6">
        <w:rPr>
          <w:rFonts w:ascii="Arial" w:eastAsia="Times New Roman" w:hAnsi="Arial" w:cs="Arial"/>
          <w:color w:val="0000FF"/>
          <w:sz w:val="21"/>
          <w:szCs w:val="21"/>
        </w:rPr>
        <w:t xml:space="preserve"> </w:t>
      </w:r>
      <w:hyperlink r:id="rId20" w:history="1">
        <w:r w:rsidRPr="00F93096">
          <w:rPr>
            <w:rStyle w:val="Hyperlink"/>
            <w:rFonts w:ascii="Arial" w:eastAsia="Times New Roman" w:hAnsi="Arial" w:cs="Arial"/>
            <w:color w:val="auto"/>
            <w:sz w:val="21"/>
            <w:szCs w:val="21"/>
            <w:u w:val="none"/>
          </w:rPr>
          <w:t>PMID:</w:t>
        </w:r>
        <w:r w:rsidR="00ED7C70" w:rsidRPr="00F93096">
          <w:rPr>
            <w:rStyle w:val="Hyperlink"/>
            <w:rFonts w:ascii="Arial" w:eastAsia="Times New Roman" w:hAnsi="Arial" w:cs="Arial"/>
            <w:sz w:val="21"/>
            <w:szCs w:val="21"/>
          </w:rPr>
          <w:t>19414839</w:t>
        </w:r>
      </w:hyperlink>
    </w:p>
    <w:p w:rsidR="00ED7C70" w:rsidRPr="00AB7AB0" w:rsidRDefault="00852B7E" w:rsidP="00AB7AB0">
      <w:pPr>
        <w:pStyle w:val="ListParagraph"/>
        <w:numPr>
          <w:ilvl w:val="0"/>
          <w:numId w:val="1"/>
        </w:numPr>
        <w:spacing w:after="0" w:line="240" w:lineRule="auto"/>
        <w:rPr>
          <w:rFonts w:ascii="Arial" w:eastAsia="Times New Roman" w:hAnsi="Arial" w:cs="Arial"/>
          <w:color w:val="000000"/>
          <w:sz w:val="21"/>
          <w:szCs w:val="21"/>
        </w:rPr>
      </w:pPr>
      <w:r w:rsidRPr="00AB7AB0">
        <w:rPr>
          <w:rFonts w:ascii="Arial" w:eastAsia="Times New Roman" w:hAnsi="Arial" w:cs="Arial"/>
          <w:color w:val="000000"/>
          <w:sz w:val="21"/>
          <w:szCs w:val="21"/>
        </w:rPr>
        <w:t>Smith C, Nashef SAM, Roques F, Sharples LD, Nilsson J, Goldstone AR, and Lockowandt U. EuroSCORE II. European Journal of Card</w:t>
      </w:r>
      <w:r w:rsidR="005A3EE6">
        <w:rPr>
          <w:rFonts w:ascii="Arial" w:eastAsia="Times New Roman" w:hAnsi="Arial" w:cs="Arial"/>
          <w:color w:val="000000"/>
          <w:sz w:val="21"/>
          <w:szCs w:val="21"/>
        </w:rPr>
        <w:t>io-Thoracic Surgery. 2012; 41</w:t>
      </w:r>
      <w:r w:rsidRPr="00AB7AB0">
        <w:rPr>
          <w:rFonts w:ascii="Arial" w:eastAsia="Times New Roman" w:hAnsi="Arial" w:cs="Arial"/>
          <w:color w:val="000000"/>
          <w:sz w:val="21"/>
          <w:szCs w:val="21"/>
        </w:rPr>
        <w:t>:734</w:t>
      </w:r>
      <w:r w:rsidR="005A3EE6">
        <w:rPr>
          <w:rFonts w:ascii="Arial" w:eastAsia="Times New Roman" w:hAnsi="Arial" w:cs="Arial"/>
          <w:color w:val="000000"/>
          <w:sz w:val="21"/>
          <w:szCs w:val="21"/>
        </w:rPr>
        <w:t>–</w:t>
      </w:r>
      <w:r w:rsidRPr="00AB7AB0">
        <w:rPr>
          <w:rFonts w:ascii="Arial" w:eastAsia="Times New Roman" w:hAnsi="Arial" w:cs="Arial"/>
          <w:color w:val="000000"/>
          <w:sz w:val="21"/>
          <w:szCs w:val="21"/>
        </w:rPr>
        <w:t xml:space="preserve">745. </w:t>
      </w:r>
    </w:p>
    <w:p w:rsidR="00852B7E" w:rsidRPr="00AB7AB0" w:rsidRDefault="00AB7AB0" w:rsidP="00AB7AB0">
      <w:pPr>
        <w:spacing w:after="0" w:line="240" w:lineRule="auto"/>
        <w:ind w:left="360" w:firstLine="360"/>
        <w:rPr>
          <w:rFonts w:ascii="Arial" w:eastAsia="Times New Roman" w:hAnsi="Arial" w:cs="Arial"/>
          <w:color w:val="000000"/>
          <w:sz w:val="21"/>
          <w:szCs w:val="21"/>
        </w:rPr>
      </w:pPr>
      <w:hyperlink r:id="rId21" w:history="1">
        <w:r w:rsidRPr="0059316E">
          <w:rPr>
            <w:rStyle w:val="Hyperlink"/>
            <w:rFonts w:ascii="Arial" w:eastAsia="Times New Roman" w:hAnsi="Arial" w:cs="Arial"/>
            <w:sz w:val="21"/>
            <w:szCs w:val="21"/>
          </w:rPr>
          <w:t>https://doi.org/10.1093/ejcts/ezs043</w:t>
        </w:r>
      </w:hyperlink>
      <w:r w:rsidR="00ED7C70" w:rsidRPr="00AB7AB0">
        <w:rPr>
          <w:rFonts w:ascii="Arial" w:eastAsia="Times New Roman" w:hAnsi="Arial" w:cs="Arial"/>
          <w:color w:val="0000FF"/>
          <w:sz w:val="21"/>
          <w:szCs w:val="21"/>
        </w:rPr>
        <w:t xml:space="preserve"> </w:t>
      </w:r>
      <w:hyperlink r:id="rId22" w:history="1">
        <w:r w:rsidRPr="00F93096">
          <w:rPr>
            <w:rStyle w:val="Hyperlink"/>
            <w:rFonts w:ascii="Arial" w:eastAsia="Times New Roman" w:hAnsi="Arial" w:cs="Arial"/>
            <w:color w:val="auto"/>
            <w:sz w:val="21"/>
            <w:szCs w:val="21"/>
            <w:u w:val="none"/>
          </w:rPr>
          <w:t>PMID:</w:t>
        </w:r>
        <w:r w:rsidR="00852B7E" w:rsidRPr="00F93096">
          <w:rPr>
            <w:rStyle w:val="Hyperlink"/>
            <w:rFonts w:ascii="Arial" w:eastAsia="Times New Roman" w:hAnsi="Arial" w:cs="Arial"/>
            <w:sz w:val="21"/>
            <w:szCs w:val="21"/>
          </w:rPr>
          <w:t>22378855</w:t>
        </w:r>
      </w:hyperlink>
    </w:p>
    <w:p w:rsidR="00852B7E" w:rsidRPr="00AC20A3" w:rsidRDefault="00852B7E" w:rsidP="00852B7E">
      <w:pPr>
        <w:spacing w:after="0" w:line="240" w:lineRule="auto"/>
        <w:rPr>
          <w:rFonts w:ascii="Times New Roman" w:eastAsia="Times New Roman" w:hAnsi="Times New Roman" w:cs="Times New Roman"/>
          <w:sz w:val="20"/>
          <w:szCs w:val="20"/>
        </w:rPr>
      </w:pPr>
    </w:p>
    <w:sectPr w:rsidR="00852B7E" w:rsidRPr="00AC20A3" w:rsidSect="00913964">
      <w:type w:val="continuous"/>
      <w:pgSz w:w="12240" w:h="15840" w:code="1"/>
      <w:pgMar w:top="1008" w:right="1008" w:bottom="1166" w:left="100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Batang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05940"/>
    <w:multiLevelType w:val="hybridMultilevel"/>
    <w:tmpl w:val="131A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0614B0"/>
    <w:multiLevelType w:val="hybridMultilevel"/>
    <w:tmpl w:val="9F6EC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3D"/>
    <w:rsid w:val="00060145"/>
    <w:rsid w:val="0009433D"/>
    <w:rsid w:val="00133EB8"/>
    <w:rsid w:val="00186498"/>
    <w:rsid w:val="002E1DAF"/>
    <w:rsid w:val="00322729"/>
    <w:rsid w:val="00337A0A"/>
    <w:rsid w:val="005A3EE6"/>
    <w:rsid w:val="008172B8"/>
    <w:rsid w:val="008316A3"/>
    <w:rsid w:val="00852B7E"/>
    <w:rsid w:val="00913964"/>
    <w:rsid w:val="00993E88"/>
    <w:rsid w:val="00AB7AB0"/>
    <w:rsid w:val="00B0527E"/>
    <w:rsid w:val="00BD2581"/>
    <w:rsid w:val="00BD7488"/>
    <w:rsid w:val="00C7324F"/>
    <w:rsid w:val="00CB5E55"/>
    <w:rsid w:val="00EC4903"/>
    <w:rsid w:val="00ED7C70"/>
    <w:rsid w:val="00F9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3D"/>
    <w:pPr>
      <w:widowControl w:val="0"/>
      <w:wordWrap w:val="0"/>
      <w:jc w:val="both"/>
    </w:pPr>
    <w:rPr>
      <w:rFonts w:eastAsiaTheme="minorEastAsia"/>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33D"/>
    <w:pPr>
      <w:spacing w:after="0" w:line="240" w:lineRule="auto"/>
    </w:pPr>
    <w:rPr>
      <w:rFonts w:eastAsiaTheme="minorEastAsia"/>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EB8"/>
    <w:pPr>
      <w:ind w:left="720"/>
      <w:contextualSpacing/>
    </w:pPr>
  </w:style>
  <w:style w:type="character" w:styleId="Hyperlink">
    <w:name w:val="Hyperlink"/>
    <w:basedOn w:val="DefaultParagraphFont"/>
    <w:uiPriority w:val="99"/>
    <w:unhideWhenUsed/>
    <w:rsid w:val="00133EB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33D"/>
    <w:pPr>
      <w:widowControl w:val="0"/>
      <w:wordWrap w:val="0"/>
      <w:jc w:val="both"/>
    </w:pPr>
    <w:rPr>
      <w:rFonts w:eastAsiaTheme="minorEastAsia"/>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433D"/>
    <w:pPr>
      <w:spacing w:after="0" w:line="240" w:lineRule="auto"/>
    </w:pPr>
    <w:rPr>
      <w:rFonts w:eastAsiaTheme="minorEastAsia"/>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3EB8"/>
    <w:pPr>
      <w:ind w:left="720"/>
      <w:contextualSpacing/>
    </w:pPr>
  </w:style>
  <w:style w:type="character" w:styleId="Hyperlink">
    <w:name w:val="Hyperlink"/>
    <w:basedOn w:val="DefaultParagraphFont"/>
    <w:uiPriority w:val="99"/>
    <w:unhideWhenUsed/>
    <w:rsid w:val="00133E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000339789" TargetMode="External"/><Relationship Id="rId13" Type="http://schemas.openxmlformats.org/officeDocument/2006/relationships/hyperlink" Target="https://www.ncbi.nlm.nih.gov/pubmed/29988709" TargetMode="External"/><Relationship Id="rId18" Type="http://schemas.openxmlformats.org/officeDocument/2006/relationships/hyperlink" Target="https://www.ncbi.nlm.nih.gov/pubmed/26320113" TargetMode="External"/><Relationship Id="rId3" Type="http://schemas.microsoft.com/office/2007/relationships/stylesWithEffects" Target="stylesWithEffects.xml"/><Relationship Id="rId21" Type="http://schemas.openxmlformats.org/officeDocument/2006/relationships/hyperlink" Target="https://doi.org/10.1093/ejcts/ezs043" TargetMode="External"/><Relationship Id="rId7" Type="http://schemas.openxmlformats.org/officeDocument/2006/relationships/hyperlink" Target="https://www.ncbi.nlm.nih.gov/pubmed/29577925" TargetMode="External"/><Relationship Id="rId12" Type="http://schemas.openxmlformats.org/officeDocument/2006/relationships/hyperlink" Target="https://doi.org/10.1186/s12959-018-0165-5" TargetMode="External"/><Relationship Id="rId17" Type="http://schemas.openxmlformats.org/officeDocument/2006/relationships/hyperlink" Target="https://doi.org/10.1093/eurheartj/ehv317" TargetMode="External"/><Relationship Id="rId2" Type="http://schemas.openxmlformats.org/officeDocument/2006/relationships/styles" Target="styles.xml"/><Relationship Id="rId16" Type="http://schemas.openxmlformats.org/officeDocument/2006/relationships/hyperlink" Target="https://www.ncbi.nlm.nih.gov/pubmed/17154400" TargetMode="External"/><Relationship Id="rId20" Type="http://schemas.openxmlformats.org/officeDocument/2006/relationships/hyperlink" Target="https://www.ncbi.nlm.nih.gov/pubmed/19414839" TargetMode="External"/><Relationship Id="rId1" Type="http://schemas.openxmlformats.org/officeDocument/2006/relationships/numbering" Target="numbering.xml"/><Relationship Id="rId6" Type="http://schemas.openxmlformats.org/officeDocument/2006/relationships/hyperlink" Target="https://doi.org/10.1016/j.athoracsur.2018.03.002" TargetMode="External"/><Relationship Id="rId11" Type="http://schemas.openxmlformats.org/officeDocument/2006/relationships/hyperlink" Target="https://www.ncbi.nlm.nih.gov/pubmed/2818351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lt.20906" TargetMode="External"/><Relationship Id="rId23" Type="http://schemas.openxmlformats.org/officeDocument/2006/relationships/fontTable" Target="fontTable.xml"/><Relationship Id="rId10" Type="http://schemas.openxmlformats.org/officeDocument/2006/relationships/hyperlink" Target="https://doi.org/10.1016/j.jacc.2016.11.045" TargetMode="External"/><Relationship Id="rId19" Type="http://schemas.openxmlformats.org/officeDocument/2006/relationships/hyperlink" Target="https://doi.org/10.7326/0003-4819-150-9-200905050-00006" TargetMode="External"/><Relationship Id="rId4" Type="http://schemas.openxmlformats.org/officeDocument/2006/relationships/settings" Target="settings.xml"/><Relationship Id="rId9" Type="http://schemas.openxmlformats.org/officeDocument/2006/relationships/hyperlink" Target="https://www.ncbi.nlm.nih.gov/pubmed/22890468" TargetMode="External"/><Relationship Id="rId14" Type="http://schemas.openxmlformats.org/officeDocument/2006/relationships/hyperlink" Target="https://doi.org/10.1016/S0195-668X(02)00799-6" TargetMode="External"/><Relationship Id="rId22" Type="http://schemas.openxmlformats.org/officeDocument/2006/relationships/hyperlink" Target="https://www.ncbi.nlm.nih.gov/pubmed/22378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17</cp:revision>
  <dcterms:created xsi:type="dcterms:W3CDTF">2019-10-15T09:32:00Z</dcterms:created>
  <dcterms:modified xsi:type="dcterms:W3CDTF">2019-10-15T13:27:00Z</dcterms:modified>
</cp:coreProperties>
</file>