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2" w:line="235" w:lineRule="auto"/>
        <w:ind w:right="547"/>
        <w:jc w:val="left"/>
        <w:rPr>
          <w:rFonts w:ascii="Calibri"/>
          <w:b/>
          <w:sz w:val="32"/>
          <w:szCs w:val="32"/>
        </w:rPr>
      </w:pPr>
      <w:r>
        <w:rPr>
          <w:sz w:val="32"/>
          <w:szCs w:val="32"/>
        </w:rPr>
        <w:pict>
          <v:group id="_x0000_s1133" o:spid="_x0000_s1133" o:spt="203" style="position:absolute;left:0pt;margin-left:51pt;margin-top:5.85pt;height:21.8pt;width:153.65pt;mso-position-horizontal-relative:page;mso-wrap-distance-bottom:0pt;mso-wrap-distance-top:0pt;z-index:-251625472;mso-width-relative:page;mso-height-relative:page;" coordorigin="1020,257" coordsize="3073,436">
            <o:lock v:ext="edit"/>
            <v:shape id="_x0000_s1134" o:spid="_x0000_s1134" style="position:absolute;left:1020;top:257;height:436;width:3073;" fillcolor="#25408F" filled="t" stroked="f" coordorigin="1020,257" coordsize="3073,436" path="m3913,257l1200,257,1096,260,1043,280,1023,333,1020,437,1020,513,1023,617,1043,671,1096,690,1200,693,3913,693,4017,690,4071,671,4090,617,4093,513,4093,437,4090,333,4071,280,4017,260,3913,257xe">
              <v:path arrowok="t"/>
              <v:fill on="t" focussize="0,0"/>
              <v:stroke on="f"/>
              <v:imagedata o:title=""/>
              <o:lock v:ext="edit"/>
            </v:shape>
            <v:shape id="_x0000_s1135" o:spid="_x0000_s1135" o:spt="202" type="#_x0000_t202" style="position:absolute;left:1020;top:257;height:436;width:3073;" filled="f" stroked="f" coordsize="21600,21600">
              <v:path/>
              <v:fill on="f" focussize="0,0"/>
              <v:stroke on="f" joinstyle="miter"/>
              <v:imagedata o:title=""/>
              <o:lock v:ext="edit"/>
              <v:textbox inset="0mm,0mm,0mm,0mm">
                <w:txbxContent>
                  <w:p>
                    <w:pPr>
                      <w:spacing w:before="30"/>
                      <w:ind w:left="260" w:right="0" w:firstLine="0"/>
                      <w:jc w:val="left"/>
                      <w:rPr>
                        <w:rFonts w:ascii="Book Antiqua"/>
                        <w:b/>
                        <w:sz w:val="30"/>
                      </w:rPr>
                    </w:pPr>
                    <w:r>
                      <w:rPr>
                        <w:rFonts w:ascii="Book Antiqua"/>
                        <w:b/>
                        <w:color w:val="FFFFFF"/>
                        <w:w w:val="95"/>
                        <w:sz w:val="30"/>
                      </w:rPr>
                      <w:t>STUDY PROTOCOL</w:t>
                    </w:r>
                  </w:p>
                </w:txbxContent>
              </v:textbox>
            </v:shape>
            <w10:wrap type="topAndBottom"/>
          </v:group>
        </w:pict>
      </w:r>
      <w:r>
        <w:rPr>
          <w:rFonts w:ascii="Calibri"/>
          <w:b/>
          <w:color w:val="32327F"/>
          <w:sz w:val="32"/>
          <w:szCs w:val="32"/>
        </w:rPr>
        <w:t xml:space="preserve">Atorvastatin for treating spontaneous subarachnoid </w:t>
      </w:r>
      <w:r>
        <w:rPr>
          <w:rFonts w:ascii="Calibri"/>
          <w:b/>
          <w:color w:val="32327F"/>
          <w:w w:val="95"/>
          <w:sz w:val="32"/>
          <w:szCs w:val="32"/>
        </w:rPr>
        <w:t>hemorrhage:</w:t>
      </w:r>
      <w:r>
        <w:rPr>
          <w:rFonts w:ascii="Calibri"/>
          <w:b/>
          <w:color w:val="32327F"/>
          <w:spacing w:val="-18"/>
          <w:w w:val="95"/>
          <w:sz w:val="32"/>
          <w:szCs w:val="32"/>
        </w:rPr>
        <w:t xml:space="preserve"> </w:t>
      </w:r>
      <w:r>
        <w:rPr>
          <w:rFonts w:ascii="Calibri"/>
          <w:b/>
          <w:color w:val="32327F"/>
          <w:w w:val="95"/>
          <w:sz w:val="32"/>
          <w:szCs w:val="32"/>
        </w:rPr>
        <w:t>study</w:t>
      </w:r>
      <w:r>
        <w:rPr>
          <w:rFonts w:ascii="Calibri"/>
          <w:b/>
          <w:color w:val="32327F"/>
          <w:spacing w:val="-18"/>
          <w:w w:val="95"/>
          <w:sz w:val="32"/>
          <w:szCs w:val="32"/>
        </w:rPr>
        <w:t xml:space="preserve"> </w:t>
      </w:r>
      <w:r>
        <w:rPr>
          <w:rFonts w:ascii="Calibri"/>
          <w:b/>
          <w:color w:val="32327F"/>
          <w:w w:val="95"/>
          <w:sz w:val="32"/>
          <w:szCs w:val="32"/>
        </w:rPr>
        <w:t>protocol</w:t>
      </w:r>
      <w:r>
        <w:rPr>
          <w:rFonts w:ascii="Calibri"/>
          <w:b/>
          <w:color w:val="32327F"/>
          <w:spacing w:val="-17"/>
          <w:w w:val="95"/>
          <w:sz w:val="32"/>
          <w:szCs w:val="32"/>
        </w:rPr>
        <w:t xml:space="preserve"> </w:t>
      </w:r>
      <w:r>
        <w:rPr>
          <w:rFonts w:ascii="Calibri"/>
          <w:b/>
          <w:color w:val="32327F"/>
          <w:w w:val="95"/>
          <w:sz w:val="32"/>
          <w:szCs w:val="32"/>
        </w:rPr>
        <w:t>for</w:t>
      </w:r>
      <w:r>
        <w:rPr>
          <w:rFonts w:ascii="Calibri"/>
          <w:b/>
          <w:color w:val="32327F"/>
          <w:spacing w:val="-18"/>
          <w:w w:val="95"/>
          <w:sz w:val="32"/>
          <w:szCs w:val="32"/>
        </w:rPr>
        <w:t xml:space="preserve"> </w:t>
      </w:r>
      <w:r>
        <w:rPr>
          <w:rFonts w:ascii="Calibri"/>
          <w:b/>
          <w:color w:val="32327F"/>
          <w:w w:val="95"/>
          <w:sz w:val="32"/>
          <w:szCs w:val="32"/>
        </w:rPr>
        <w:t>a</w:t>
      </w:r>
      <w:r>
        <w:rPr>
          <w:rFonts w:ascii="Calibri"/>
          <w:b/>
          <w:color w:val="32327F"/>
          <w:spacing w:val="-18"/>
          <w:w w:val="95"/>
          <w:sz w:val="32"/>
          <w:szCs w:val="32"/>
        </w:rPr>
        <w:t xml:space="preserve"> </w:t>
      </w:r>
      <w:r>
        <w:rPr>
          <w:rFonts w:ascii="Calibri"/>
          <w:b/>
          <w:color w:val="32327F"/>
          <w:w w:val="95"/>
          <w:sz w:val="32"/>
          <w:szCs w:val="32"/>
        </w:rPr>
        <w:t>randomized</w:t>
      </w:r>
      <w:r>
        <w:rPr>
          <w:rFonts w:ascii="Calibri"/>
          <w:b/>
          <w:color w:val="32327F"/>
          <w:spacing w:val="-17"/>
          <w:w w:val="95"/>
          <w:sz w:val="32"/>
          <w:szCs w:val="32"/>
        </w:rPr>
        <w:t xml:space="preserve"> </w:t>
      </w:r>
      <w:r>
        <w:rPr>
          <w:rFonts w:ascii="Calibri"/>
          <w:b/>
          <w:color w:val="32327F"/>
          <w:w w:val="95"/>
          <w:sz w:val="32"/>
          <w:szCs w:val="32"/>
        </w:rPr>
        <w:t xml:space="preserve">double-blind </w:t>
      </w:r>
      <w:r>
        <w:rPr>
          <w:rFonts w:ascii="Calibri"/>
          <w:b/>
          <w:color w:val="32327F"/>
          <w:sz w:val="32"/>
          <w:szCs w:val="32"/>
        </w:rPr>
        <w:t>placebo-controlled</w:t>
      </w:r>
      <w:r>
        <w:rPr>
          <w:rFonts w:ascii="Calibri"/>
          <w:b/>
          <w:color w:val="32327F"/>
          <w:spacing w:val="1"/>
          <w:sz w:val="32"/>
          <w:szCs w:val="32"/>
        </w:rPr>
        <w:t xml:space="preserve"> </w:t>
      </w:r>
      <w:r>
        <w:rPr>
          <w:rFonts w:ascii="Calibri"/>
          <w:b/>
          <w:color w:val="32327F"/>
          <w:sz w:val="32"/>
          <w:szCs w:val="32"/>
        </w:rPr>
        <w:t>trial</w:t>
      </w:r>
    </w:p>
    <w:p>
      <w:pPr>
        <w:pStyle w:val="2"/>
        <w:spacing w:before="229"/>
        <w:ind w:left="111" w:right="111"/>
        <w:jc w:val="center"/>
        <w:rPr>
          <w:rFonts w:hint="default" w:ascii="Calibri" w:eastAsia="宋体"/>
          <w:lang w:val="en-US" w:eastAsia="zh-CN"/>
        </w:rPr>
      </w:pPr>
      <w:r>
        <w:rPr>
          <w:rFonts w:ascii="Calibri"/>
          <w:color w:val="231F20"/>
        </w:rPr>
        <w:t>Jun-hui Chen</w:t>
      </w:r>
      <w:r>
        <w:rPr>
          <w:rFonts w:ascii="Calibri"/>
          <w:color w:val="231F20"/>
          <w:sz w:val="20"/>
        </w:rPr>
        <w:t>*</w:t>
      </w:r>
      <w:r>
        <w:rPr>
          <w:rFonts w:ascii="Calibri"/>
          <w:color w:val="231F20"/>
        </w:rPr>
        <w:t>, Yu-hai Wang</w:t>
      </w:r>
      <w:r>
        <w:rPr>
          <w:rFonts w:hint="eastAsia" w:ascii="Calibri" w:eastAsia="宋体"/>
          <w:color w:val="231F20"/>
          <w:lang w:val="en-US" w:eastAsia="zh-CN"/>
        </w:rPr>
        <w:t>, Qian-xue Chen</w:t>
      </w:r>
    </w:p>
    <w:p>
      <w:pPr>
        <w:pStyle w:val="5"/>
        <w:spacing w:before="11"/>
        <w:rPr>
          <w:rFonts w:ascii="Calibri"/>
          <w:sz w:val="24"/>
        </w:rPr>
      </w:pPr>
      <w:r>
        <w:pict>
          <v:group id="_x0000_s1045" o:spid="_x0000_s1045" o:spt="203" style="position:absolute;left:0pt;margin-left:53.85pt;margin-top:17.15pt;height:17.8pt;width:504.25pt;mso-position-horizontal-relative:page;mso-wrap-distance-bottom:0pt;mso-wrap-distance-top:0pt;z-index:-251650048;mso-width-relative:page;mso-height-relative:page;" coordorigin="1078,343" coordsize="10085,356">
            <o:lock v:ext="edit"/>
            <v:rect id="_x0000_s1046" o:spid="_x0000_s1046" o:spt="1" style="position:absolute;left:3510;top:343;height:356;width:7653;" fillcolor="#C8C4D9" filled="t" stroked="f" coordsize="21600,21600">
              <v:path/>
              <v:fill on="t" focussize="0,0"/>
              <v:stroke on="f"/>
              <v:imagedata o:title=""/>
              <o:lock v:ext="edit"/>
            </v:rect>
            <v:shape id="_x0000_s1047" o:spid="_x0000_s1047" o:spt="202" type="#_x0000_t202" style="position:absolute;left:1077;top:343;height:356;width:2433;" fillcolor="#32327F" filled="t" stroked="f" coordsize="21600,21600">
              <v:path/>
              <v:fill on="t" focussize="0,0"/>
              <v:stroke on="f" joinstyle="miter"/>
              <v:imagedata o:title=""/>
              <o:lock v:ext="edit"/>
              <v:textbox inset="0mm,0mm,0mm,0mm">
                <w:txbxContent>
                  <w:p>
                    <w:pPr>
                      <w:spacing w:before="40"/>
                      <w:ind w:left="113" w:right="0" w:firstLine="0"/>
                      <w:jc w:val="left"/>
                      <w:rPr>
                        <w:rFonts w:ascii="Calibri"/>
                        <w:b/>
                        <w:sz w:val="24"/>
                      </w:rPr>
                    </w:pPr>
                    <w:r>
                      <w:rPr>
                        <w:rFonts w:ascii="Calibri"/>
                        <w:b/>
                        <w:color w:val="FFFFFF"/>
                        <w:sz w:val="24"/>
                      </w:rPr>
                      <w:t>Abstract</w:t>
                    </w:r>
                  </w:p>
                </w:txbxContent>
              </v:textbox>
            </v:shape>
            <w10:wrap type="topAndBottom"/>
          </v:group>
        </w:pict>
      </w:r>
    </w:p>
    <w:p>
      <w:pPr>
        <w:spacing w:before="152" w:line="264" w:lineRule="auto"/>
        <w:ind w:left="117" w:right="114" w:firstLine="0"/>
        <w:jc w:val="both"/>
        <w:rPr>
          <w:sz w:val="19"/>
        </w:rPr>
      </w:pPr>
      <w:r>
        <w:rPr>
          <w:b/>
          <w:color w:val="32327F"/>
          <w:sz w:val="19"/>
        </w:rPr>
        <w:t xml:space="preserve">Background: </w:t>
      </w:r>
      <w:r>
        <w:rPr>
          <w:color w:val="231F20"/>
          <w:sz w:val="19"/>
        </w:rPr>
        <w:t>Animal studies have confirmed that statins have neuroprotective effects during and following a subarachnoid hemor- rhage;</w:t>
      </w:r>
      <w:r>
        <w:rPr>
          <w:color w:val="231F20"/>
          <w:spacing w:val="-5"/>
          <w:sz w:val="19"/>
        </w:rPr>
        <w:t xml:space="preserve"> </w:t>
      </w:r>
      <w:r>
        <w:rPr>
          <w:color w:val="231F20"/>
          <w:sz w:val="19"/>
        </w:rPr>
        <w:t>however,</w:t>
      </w:r>
      <w:r>
        <w:rPr>
          <w:color w:val="231F20"/>
          <w:spacing w:val="-4"/>
          <w:sz w:val="19"/>
        </w:rPr>
        <w:t xml:space="preserve"> </w:t>
      </w:r>
      <w:r>
        <w:rPr>
          <w:color w:val="231F20"/>
          <w:sz w:val="19"/>
        </w:rPr>
        <w:t>the</w:t>
      </w:r>
      <w:r>
        <w:rPr>
          <w:color w:val="231F20"/>
          <w:spacing w:val="-4"/>
          <w:sz w:val="19"/>
        </w:rPr>
        <w:t xml:space="preserve"> </w:t>
      </w:r>
      <w:r>
        <w:rPr>
          <w:color w:val="231F20"/>
          <w:sz w:val="19"/>
        </w:rPr>
        <w:t>therapeutic</w:t>
      </w:r>
      <w:r>
        <w:rPr>
          <w:color w:val="231F20"/>
          <w:spacing w:val="-5"/>
          <w:sz w:val="19"/>
        </w:rPr>
        <w:t xml:space="preserve"> </w:t>
      </w:r>
      <w:r>
        <w:rPr>
          <w:color w:val="231F20"/>
          <w:sz w:val="19"/>
        </w:rPr>
        <w:t>effect</w:t>
      </w:r>
      <w:r>
        <w:rPr>
          <w:color w:val="231F20"/>
          <w:spacing w:val="-4"/>
          <w:sz w:val="19"/>
        </w:rPr>
        <w:t xml:space="preserve"> </w:t>
      </w:r>
      <w:r>
        <w:rPr>
          <w:color w:val="231F20"/>
          <w:sz w:val="19"/>
        </w:rPr>
        <w:t>of</w:t>
      </w:r>
      <w:r>
        <w:rPr>
          <w:color w:val="231F20"/>
          <w:spacing w:val="-4"/>
          <w:sz w:val="19"/>
        </w:rPr>
        <w:t xml:space="preserve"> </w:t>
      </w:r>
      <w:r>
        <w:rPr>
          <w:color w:val="231F20"/>
          <w:sz w:val="19"/>
        </w:rPr>
        <w:t>statins</w:t>
      </w:r>
      <w:r>
        <w:rPr>
          <w:color w:val="231F20"/>
          <w:spacing w:val="-5"/>
          <w:sz w:val="19"/>
        </w:rPr>
        <w:t xml:space="preserve"> </w:t>
      </w:r>
      <w:r>
        <w:rPr>
          <w:color w:val="231F20"/>
          <w:sz w:val="19"/>
        </w:rPr>
        <w:t>in</w:t>
      </w:r>
      <w:r>
        <w:rPr>
          <w:color w:val="231F20"/>
          <w:spacing w:val="-4"/>
          <w:sz w:val="19"/>
        </w:rPr>
        <w:t xml:space="preserve"> </w:t>
      </w:r>
      <w:r>
        <w:rPr>
          <w:color w:val="231F20"/>
          <w:sz w:val="19"/>
        </w:rPr>
        <w:t>humans</w:t>
      </w:r>
      <w:r>
        <w:rPr>
          <w:color w:val="231F20"/>
          <w:spacing w:val="-4"/>
          <w:sz w:val="19"/>
        </w:rPr>
        <w:t xml:space="preserve"> </w:t>
      </w:r>
      <w:r>
        <w:rPr>
          <w:color w:val="231F20"/>
          <w:sz w:val="19"/>
        </w:rPr>
        <w:t>remains</w:t>
      </w:r>
      <w:r>
        <w:rPr>
          <w:color w:val="231F20"/>
          <w:spacing w:val="-4"/>
          <w:sz w:val="19"/>
        </w:rPr>
        <w:t xml:space="preserve"> </w:t>
      </w:r>
      <w:r>
        <w:rPr>
          <w:color w:val="231F20"/>
          <w:sz w:val="19"/>
        </w:rPr>
        <w:t>controversial.</w:t>
      </w:r>
      <w:r>
        <w:rPr>
          <w:color w:val="231F20"/>
          <w:spacing w:val="-8"/>
          <w:sz w:val="19"/>
        </w:rPr>
        <w:t xml:space="preserve"> </w:t>
      </w:r>
      <w:r>
        <w:rPr>
          <w:color w:val="231F20"/>
          <w:sz w:val="19"/>
        </w:rPr>
        <w:t>The</w:t>
      </w:r>
      <w:r>
        <w:rPr>
          <w:color w:val="231F20"/>
          <w:spacing w:val="-4"/>
          <w:sz w:val="19"/>
        </w:rPr>
        <w:t xml:space="preserve"> </w:t>
      </w:r>
      <w:r>
        <w:rPr>
          <w:color w:val="231F20"/>
          <w:sz w:val="19"/>
        </w:rPr>
        <w:t>interpretation</w:t>
      </w:r>
      <w:r>
        <w:rPr>
          <w:color w:val="231F20"/>
          <w:spacing w:val="-5"/>
          <w:sz w:val="19"/>
        </w:rPr>
        <w:t xml:space="preserve"> </w:t>
      </w:r>
      <w:r>
        <w:rPr>
          <w:color w:val="231F20"/>
          <w:sz w:val="19"/>
        </w:rPr>
        <w:t>of</w:t>
      </w:r>
      <w:r>
        <w:rPr>
          <w:color w:val="231F20"/>
          <w:spacing w:val="-4"/>
          <w:sz w:val="19"/>
        </w:rPr>
        <w:t xml:space="preserve"> </w:t>
      </w:r>
      <w:r>
        <w:rPr>
          <w:color w:val="231F20"/>
          <w:sz w:val="19"/>
        </w:rPr>
        <w:t>data</w:t>
      </w:r>
      <w:r>
        <w:rPr>
          <w:color w:val="231F20"/>
          <w:spacing w:val="-5"/>
          <w:sz w:val="19"/>
        </w:rPr>
        <w:t xml:space="preserve"> </w:t>
      </w:r>
      <w:r>
        <w:rPr>
          <w:color w:val="231F20"/>
          <w:sz w:val="19"/>
        </w:rPr>
        <w:t>currently</w:t>
      </w:r>
      <w:r>
        <w:rPr>
          <w:color w:val="231F20"/>
          <w:spacing w:val="-4"/>
          <w:sz w:val="19"/>
        </w:rPr>
        <w:t xml:space="preserve"> </w:t>
      </w:r>
      <w:r>
        <w:rPr>
          <w:color w:val="231F20"/>
          <w:sz w:val="19"/>
        </w:rPr>
        <w:t>available</w:t>
      </w:r>
      <w:r>
        <w:rPr>
          <w:color w:val="231F20"/>
          <w:spacing w:val="-5"/>
          <w:sz w:val="19"/>
        </w:rPr>
        <w:t xml:space="preserve"> </w:t>
      </w:r>
      <w:r>
        <w:rPr>
          <w:color w:val="231F20"/>
          <w:sz w:val="19"/>
        </w:rPr>
        <w:t>on</w:t>
      </w:r>
      <w:r>
        <w:rPr>
          <w:color w:val="231F20"/>
          <w:spacing w:val="-4"/>
          <w:sz w:val="19"/>
        </w:rPr>
        <w:t xml:space="preserve"> </w:t>
      </w:r>
      <w:r>
        <w:rPr>
          <w:color w:val="231F20"/>
          <w:sz w:val="19"/>
        </w:rPr>
        <w:t>the clinical</w:t>
      </w:r>
      <w:r>
        <w:rPr>
          <w:color w:val="231F20"/>
          <w:spacing w:val="-12"/>
          <w:sz w:val="19"/>
        </w:rPr>
        <w:t xml:space="preserve"> </w:t>
      </w:r>
      <w:r>
        <w:rPr>
          <w:color w:val="231F20"/>
          <w:sz w:val="19"/>
        </w:rPr>
        <w:t>application</w:t>
      </w:r>
      <w:r>
        <w:rPr>
          <w:color w:val="231F20"/>
          <w:spacing w:val="-11"/>
          <w:sz w:val="19"/>
        </w:rPr>
        <w:t xml:space="preserve"> </w:t>
      </w:r>
      <w:r>
        <w:rPr>
          <w:color w:val="231F20"/>
          <w:sz w:val="19"/>
        </w:rPr>
        <w:t>of</w:t>
      </w:r>
      <w:r>
        <w:rPr>
          <w:color w:val="231F20"/>
          <w:spacing w:val="-12"/>
          <w:sz w:val="19"/>
        </w:rPr>
        <w:t xml:space="preserve"> </w:t>
      </w:r>
      <w:r>
        <w:rPr>
          <w:color w:val="231F20"/>
          <w:sz w:val="19"/>
        </w:rPr>
        <w:t>statins</w:t>
      </w:r>
      <w:r>
        <w:rPr>
          <w:color w:val="231F20"/>
          <w:spacing w:val="-11"/>
          <w:sz w:val="19"/>
        </w:rPr>
        <w:t xml:space="preserve"> </w:t>
      </w:r>
      <w:r>
        <w:rPr>
          <w:color w:val="231F20"/>
          <w:sz w:val="19"/>
        </w:rPr>
        <w:t>to</w:t>
      </w:r>
      <w:r>
        <w:rPr>
          <w:color w:val="231F20"/>
          <w:spacing w:val="-11"/>
          <w:sz w:val="19"/>
        </w:rPr>
        <w:t xml:space="preserve"> </w:t>
      </w:r>
      <w:r>
        <w:rPr>
          <w:color w:val="231F20"/>
          <w:sz w:val="19"/>
        </w:rPr>
        <w:t>spontaneous</w:t>
      </w:r>
      <w:r>
        <w:rPr>
          <w:color w:val="231F20"/>
          <w:spacing w:val="-12"/>
          <w:sz w:val="19"/>
        </w:rPr>
        <w:t xml:space="preserve"> </w:t>
      </w:r>
      <w:r>
        <w:rPr>
          <w:color w:val="231F20"/>
          <w:sz w:val="19"/>
        </w:rPr>
        <w:t>subarachnoid</w:t>
      </w:r>
      <w:r>
        <w:rPr>
          <w:color w:val="231F20"/>
          <w:spacing w:val="-11"/>
          <w:sz w:val="19"/>
        </w:rPr>
        <w:t xml:space="preserve"> </w:t>
      </w:r>
      <w:r>
        <w:rPr>
          <w:color w:val="231F20"/>
          <w:sz w:val="19"/>
        </w:rPr>
        <w:t>hemorrhage</w:t>
      </w:r>
      <w:r>
        <w:rPr>
          <w:color w:val="231F20"/>
          <w:spacing w:val="-11"/>
          <w:sz w:val="19"/>
        </w:rPr>
        <w:t xml:space="preserve"> </w:t>
      </w:r>
      <w:r>
        <w:rPr>
          <w:color w:val="231F20"/>
          <w:sz w:val="19"/>
        </w:rPr>
        <w:t>is</w:t>
      </w:r>
      <w:r>
        <w:rPr>
          <w:color w:val="231F20"/>
          <w:spacing w:val="-12"/>
          <w:sz w:val="19"/>
        </w:rPr>
        <w:t xml:space="preserve"> </w:t>
      </w:r>
      <w:r>
        <w:rPr>
          <w:color w:val="231F20"/>
          <w:sz w:val="19"/>
        </w:rPr>
        <w:t>limited</w:t>
      </w:r>
      <w:r>
        <w:rPr>
          <w:color w:val="231F20"/>
          <w:spacing w:val="-11"/>
          <w:sz w:val="19"/>
        </w:rPr>
        <w:t xml:space="preserve"> </w:t>
      </w:r>
      <w:r>
        <w:rPr>
          <w:color w:val="231F20"/>
          <w:sz w:val="19"/>
        </w:rPr>
        <w:t>by</w:t>
      </w:r>
      <w:r>
        <w:rPr>
          <w:color w:val="231F20"/>
          <w:spacing w:val="-11"/>
          <w:sz w:val="19"/>
        </w:rPr>
        <w:t xml:space="preserve"> </w:t>
      </w:r>
      <w:r>
        <w:rPr>
          <w:color w:val="231F20"/>
          <w:sz w:val="19"/>
        </w:rPr>
        <w:t>the</w:t>
      </w:r>
      <w:r>
        <w:rPr>
          <w:color w:val="231F20"/>
          <w:spacing w:val="-12"/>
          <w:sz w:val="19"/>
        </w:rPr>
        <w:t xml:space="preserve"> </w:t>
      </w:r>
      <w:r>
        <w:rPr>
          <w:color w:val="231F20"/>
          <w:sz w:val="19"/>
        </w:rPr>
        <w:t>small</w:t>
      </w:r>
      <w:r>
        <w:rPr>
          <w:color w:val="231F20"/>
          <w:spacing w:val="-11"/>
          <w:sz w:val="19"/>
        </w:rPr>
        <w:t xml:space="preserve"> </w:t>
      </w:r>
      <w:r>
        <w:rPr>
          <w:color w:val="231F20"/>
          <w:sz w:val="19"/>
        </w:rPr>
        <w:t>sample</w:t>
      </w:r>
      <w:r>
        <w:rPr>
          <w:color w:val="231F20"/>
          <w:spacing w:val="-11"/>
          <w:sz w:val="19"/>
        </w:rPr>
        <w:t xml:space="preserve"> </w:t>
      </w:r>
      <w:r>
        <w:rPr>
          <w:color w:val="231F20"/>
          <w:sz w:val="19"/>
        </w:rPr>
        <w:t>sizes</w:t>
      </w:r>
      <w:r>
        <w:rPr>
          <w:color w:val="231F20"/>
          <w:spacing w:val="-12"/>
          <w:sz w:val="19"/>
        </w:rPr>
        <w:t xml:space="preserve"> </w:t>
      </w:r>
      <w:r>
        <w:rPr>
          <w:color w:val="231F20"/>
          <w:sz w:val="19"/>
        </w:rPr>
        <w:t>used</w:t>
      </w:r>
      <w:r>
        <w:rPr>
          <w:color w:val="231F20"/>
          <w:spacing w:val="-11"/>
          <w:sz w:val="19"/>
        </w:rPr>
        <w:t xml:space="preserve"> </w:t>
      </w:r>
      <w:r>
        <w:rPr>
          <w:color w:val="231F20"/>
          <w:sz w:val="19"/>
        </w:rPr>
        <w:t>in</w:t>
      </w:r>
      <w:r>
        <w:rPr>
          <w:color w:val="231F20"/>
          <w:spacing w:val="-11"/>
          <w:sz w:val="19"/>
        </w:rPr>
        <w:t xml:space="preserve"> </w:t>
      </w:r>
      <w:r>
        <w:rPr>
          <w:color w:val="231F20"/>
          <w:sz w:val="19"/>
        </w:rPr>
        <w:t>the</w:t>
      </w:r>
      <w:r>
        <w:rPr>
          <w:color w:val="231F20"/>
          <w:spacing w:val="-12"/>
          <w:sz w:val="19"/>
        </w:rPr>
        <w:t xml:space="preserve"> </w:t>
      </w:r>
      <w:r>
        <w:rPr>
          <w:color w:val="231F20"/>
          <w:sz w:val="19"/>
        </w:rPr>
        <w:t>studies,</w:t>
      </w:r>
      <w:r>
        <w:rPr>
          <w:color w:val="231F20"/>
          <w:spacing w:val="-11"/>
          <w:sz w:val="19"/>
        </w:rPr>
        <w:t xml:space="preserve"> </w:t>
      </w:r>
      <w:r>
        <w:rPr>
          <w:color w:val="231F20"/>
          <w:sz w:val="19"/>
        </w:rPr>
        <w:t>making it</w:t>
      </w:r>
      <w:r>
        <w:rPr>
          <w:color w:val="231F20"/>
          <w:spacing w:val="-5"/>
          <w:sz w:val="19"/>
        </w:rPr>
        <w:t xml:space="preserve"> </w:t>
      </w:r>
      <w:r>
        <w:rPr>
          <w:color w:val="231F20"/>
          <w:sz w:val="19"/>
        </w:rPr>
        <w:t>difficult</w:t>
      </w:r>
      <w:r>
        <w:rPr>
          <w:color w:val="231F20"/>
          <w:spacing w:val="-4"/>
          <w:sz w:val="19"/>
        </w:rPr>
        <w:t xml:space="preserve"> </w:t>
      </w:r>
      <w:r>
        <w:rPr>
          <w:color w:val="231F20"/>
          <w:sz w:val="19"/>
        </w:rPr>
        <w:t>to</w:t>
      </w:r>
      <w:r>
        <w:rPr>
          <w:color w:val="231F20"/>
          <w:spacing w:val="-4"/>
          <w:sz w:val="19"/>
        </w:rPr>
        <w:t xml:space="preserve"> </w:t>
      </w:r>
      <w:r>
        <w:rPr>
          <w:color w:val="231F20"/>
          <w:sz w:val="19"/>
        </w:rPr>
        <w:t>draw</w:t>
      </w:r>
      <w:r>
        <w:rPr>
          <w:color w:val="231F20"/>
          <w:spacing w:val="-4"/>
          <w:sz w:val="19"/>
        </w:rPr>
        <w:t xml:space="preserve"> </w:t>
      </w:r>
      <w:r>
        <w:rPr>
          <w:color w:val="231F20"/>
          <w:sz w:val="19"/>
        </w:rPr>
        <w:t>valid</w:t>
      </w:r>
      <w:r>
        <w:rPr>
          <w:color w:val="231F20"/>
          <w:spacing w:val="-4"/>
          <w:sz w:val="19"/>
        </w:rPr>
        <w:t xml:space="preserve"> </w:t>
      </w:r>
      <w:r>
        <w:rPr>
          <w:color w:val="231F20"/>
          <w:sz w:val="19"/>
        </w:rPr>
        <w:t>conclusions</w:t>
      </w:r>
      <w:r>
        <w:rPr>
          <w:color w:val="231F20"/>
          <w:spacing w:val="-5"/>
          <w:sz w:val="19"/>
        </w:rPr>
        <w:t xml:space="preserve"> </w:t>
      </w:r>
      <w:r>
        <w:rPr>
          <w:color w:val="231F20"/>
          <w:sz w:val="19"/>
        </w:rPr>
        <w:t>regarding</w:t>
      </w:r>
      <w:r>
        <w:rPr>
          <w:color w:val="231F20"/>
          <w:spacing w:val="-4"/>
          <w:sz w:val="19"/>
        </w:rPr>
        <w:t xml:space="preserve"> </w:t>
      </w:r>
      <w:r>
        <w:rPr>
          <w:color w:val="231F20"/>
          <w:sz w:val="19"/>
        </w:rPr>
        <w:t>the</w:t>
      </w:r>
      <w:r>
        <w:rPr>
          <w:color w:val="231F20"/>
          <w:spacing w:val="-4"/>
          <w:sz w:val="19"/>
        </w:rPr>
        <w:t xml:space="preserve"> </w:t>
      </w:r>
      <w:r>
        <w:rPr>
          <w:color w:val="231F20"/>
          <w:sz w:val="19"/>
        </w:rPr>
        <w:t>multiple</w:t>
      </w:r>
      <w:r>
        <w:rPr>
          <w:color w:val="231F20"/>
          <w:spacing w:val="-4"/>
          <w:sz w:val="19"/>
        </w:rPr>
        <w:t xml:space="preserve"> </w:t>
      </w:r>
      <w:r>
        <w:rPr>
          <w:color w:val="231F20"/>
          <w:sz w:val="19"/>
        </w:rPr>
        <w:t>neuroprotective</w:t>
      </w:r>
      <w:r>
        <w:rPr>
          <w:color w:val="231F20"/>
          <w:spacing w:val="-4"/>
          <w:sz w:val="19"/>
        </w:rPr>
        <w:t xml:space="preserve"> </w:t>
      </w:r>
      <w:r>
        <w:rPr>
          <w:color w:val="231F20"/>
          <w:sz w:val="19"/>
        </w:rPr>
        <w:t>effects</w:t>
      </w:r>
      <w:r>
        <w:rPr>
          <w:color w:val="231F20"/>
          <w:spacing w:val="-5"/>
          <w:sz w:val="19"/>
        </w:rPr>
        <w:t xml:space="preserve"> </w:t>
      </w:r>
      <w:r>
        <w:rPr>
          <w:color w:val="231F20"/>
          <w:sz w:val="19"/>
        </w:rPr>
        <w:t>of</w:t>
      </w:r>
      <w:r>
        <w:rPr>
          <w:color w:val="231F20"/>
          <w:spacing w:val="-4"/>
          <w:sz w:val="19"/>
        </w:rPr>
        <w:t xml:space="preserve"> </w:t>
      </w:r>
      <w:r>
        <w:rPr>
          <w:color w:val="231F20"/>
          <w:sz w:val="19"/>
        </w:rPr>
        <w:t>statins.</w:t>
      </w:r>
      <w:r>
        <w:rPr>
          <w:color w:val="231F20"/>
          <w:spacing w:val="-7"/>
          <w:sz w:val="19"/>
        </w:rPr>
        <w:t xml:space="preserve"> </w:t>
      </w:r>
      <w:r>
        <w:rPr>
          <w:color w:val="231F20"/>
          <w:sz w:val="19"/>
        </w:rPr>
        <w:t>Thus,</w:t>
      </w:r>
      <w:r>
        <w:rPr>
          <w:color w:val="231F20"/>
          <w:spacing w:val="-4"/>
          <w:sz w:val="19"/>
        </w:rPr>
        <w:t xml:space="preserve"> </w:t>
      </w:r>
      <w:r>
        <w:rPr>
          <w:color w:val="231F20"/>
          <w:sz w:val="19"/>
        </w:rPr>
        <w:t>we</w:t>
      </w:r>
      <w:r>
        <w:rPr>
          <w:color w:val="231F20"/>
          <w:spacing w:val="-4"/>
          <w:sz w:val="19"/>
        </w:rPr>
        <w:t xml:space="preserve"> </w:t>
      </w:r>
      <w:r>
        <w:rPr>
          <w:color w:val="231F20"/>
          <w:sz w:val="19"/>
        </w:rPr>
        <w:t>propose</w:t>
      </w:r>
      <w:r>
        <w:rPr>
          <w:color w:val="231F20"/>
          <w:spacing w:val="-5"/>
          <w:sz w:val="19"/>
        </w:rPr>
        <w:t xml:space="preserve"> </w:t>
      </w:r>
      <w:r>
        <w:rPr>
          <w:color w:val="231F20"/>
          <w:sz w:val="19"/>
        </w:rPr>
        <w:t>to</w:t>
      </w:r>
      <w:r>
        <w:rPr>
          <w:color w:val="231F20"/>
          <w:spacing w:val="-4"/>
          <w:sz w:val="19"/>
        </w:rPr>
        <w:t xml:space="preserve"> </w:t>
      </w:r>
      <w:r>
        <w:rPr>
          <w:color w:val="231F20"/>
          <w:sz w:val="19"/>
        </w:rPr>
        <w:t>perform</w:t>
      </w:r>
      <w:r>
        <w:rPr>
          <w:color w:val="231F20"/>
          <w:spacing w:val="-4"/>
          <w:sz w:val="19"/>
        </w:rPr>
        <w:t xml:space="preserve"> </w:t>
      </w:r>
      <w:r>
        <w:rPr>
          <w:color w:val="231F20"/>
          <w:sz w:val="19"/>
        </w:rPr>
        <w:t>a</w:t>
      </w:r>
      <w:r>
        <w:rPr>
          <w:color w:val="231F20"/>
          <w:spacing w:val="-4"/>
          <w:sz w:val="19"/>
        </w:rPr>
        <w:t xml:space="preserve"> </w:t>
      </w:r>
      <w:r>
        <w:rPr>
          <w:color w:val="231F20"/>
          <w:sz w:val="19"/>
        </w:rPr>
        <w:t>random- ized</w:t>
      </w:r>
      <w:r>
        <w:rPr>
          <w:color w:val="231F20"/>
          <w:spacing w:val="-7"/>
          <w:sz w:val="19"/>
        </w:rPr>
        <w:t xml:space="preserve"> </w:t>
      </w:r>
      <w:r>
        <w:rPr>
          <w:color w:val="231F20"/>
          <w:sz w:val="19"/>
        </w:rPr>
        <w:t>double-blind</w:t>
      </w:r>
      <w:r>
        <w:rPr>
          <w:color w:val="231F20"/>
          <w:spacing w:val="-7"/>
          <w:sz w:val="19"/>
        </w:rPr>
        <w:t xml:space="preserve"> </w:t>
      </w:r>
      <w:r>
        <w:rPr>
          <w:color w:val="231F20"/>
          <w:sz w:val="19"/>
        </w:rPr>
        <w:t>placebo-controlled</w:t>
      </w:r>
      <w:r>
        <w:rPr>
          <w:color w:val="231F20"/>
          <w:spacing w:val="-7"/>
          <w:sz w:val="19"/>
        </w:rPr>
        <w:t xml:space="preserve"> </w:t>
      </w:r>
      <w:r>
        <w:rPr>
          <w:color w:val="231F20"/>
          <w:sz w:val="19"/>
        </w:rPr>
        <w:t>parallel-group</w:t>
      </w:r>
      <w:r>
        <w:rPr>
          <w:color w:val="231F20"/>
          <w:spacing w:val="-7"/>
          <w:sz w:val="19"/>
        </w:rPr>
        <w:t xml:space="preserve"> </w:t>
      </w:r>
      <w:r>
        <w:rPr>
          <w:color w:val="231F20"/>
          <w:sz w:val="19"/>
        </w:rPr>
        <w:t>clinical</w:t>
      </w:r>
      <w:r>
        <w:rPr>
          <w:color w:val="231F20"/>
          <w:spacing w:val="-6"/>
          <w:sz w:val="19"/>
        </w:rPr>
        <w:t xml:space="preserve"> </w:t>
      </w:r>
      <w:r>
        <w:rPr>
          <w:color w:val="231F20"/>
          <w:sz w:val="19"/>
        </w:rPr>
        <w:t>trial</w:t>
      </w:r>
      <w:r>
        <w:rPr>
          <w:color w:val="231F20"/>
          <w:spacing w:val="-7"/>
          <w:sz w:val="19"/>
        </w:rPr>
        <w:t xml:space="preserve"> </w:t>
      </w:r>
      <w:r>
        <w:rPr>
          <w:color w:val="231F20"/>
          <w:sz w:val="19"/>
        </w:rPr>
        <w:t>to</w:t>
      </w:r>
      <w:r>
        <w:rPr>
          <w:color w:val="231F20"/>
          <w:spacing w:val="-7"/>
          <w:sz w:val="19"/>
        </w:rPr>
        <w:t xml:space="preserve"> </w:t>
      </w:r>
      <w:r>
        <w:rPr>
          <w:color w:val="231F20"/>
          <w:sz w:val="19"/>
        </w:rPr>
        <w:t>determine</w:t>
      </w:r>
      <w:r>
        <w:rPr>
          <w:color w:val="231F20"/>
          <w:spacing w:val="-7"/>
          <w:sz w:val="19"/>
        </w:rPr>
        <w:t xml:space="preserve"> </w:t>
      </w:r>
      <w:r>
        <w:rPr>
          <w:color w:val="231F20"/>
          <w:sz w:val="19"/>
        </w:rPr>
        <w:t>the</w:t>
      </w:r>
      <w:r>
        <w:rPr>
          <w:color w:val="231F20"/>
          <w:spacing w:val="-6"/>
          <w:sz w:val="19"/>
        </w:rPr>
        <w:t xml:space="preserve"> </w:t>
      </w:r>
      <w:r>
        <w:rPr>
          <w:color w:val="231F20"/>
          <w:sz w:val="19"/>
        </w:rPr>
        <w:t>effects</w:t>
      </w:r>
      <w:r>
        <w:rPr>
          <w:color w:val="231F20"/>
          <w:spacing w:val="-7"/>
          <w:sz w:val="19"/>
        </w:rPr>
        <w:t xml:space="preserve"> </w:t>
      </w:r>
      <w:r>
        <w:rPr>
          <w:color w:val="231F20"/>
          <w:sz w:val="19"/>
        </w:rPr>
        <w:t>of</w:t>
      </w:r>
      <w:r>
        <w:rPr>
          <w:color w:val="231F20"/>
          <w:spacing w:val="-7"/>
          <w:sz w:val="19"/>
        </w:rPr>
        <w:t xml:space="preserve"> </w:t>
      </w:r>
      <w:r>
        <w:rPr>
          <w:color w:val="231F20"/>
          <w:sz w:val="19"/>
        </w:rPr>
        <w:t>atorvastatin</w:t>
      </w:r>
      <w:r>
        <w:rPr>
          <w:color w:val="231F20"/>
          <w:spacing w:val="-7"/>
          <w:sz w:val="19"/>
        </w:rPr>
        <w:t xml:space="preserve"> </w:t>
      </w:r>
      <w:r>
        <w:rPr>
          <w:color w:val="231F20"/>
          <w:sz w:val="19"/>
        </w:rPr>
        <w:t>on</w:t>
      </w:r>
      <w:r>
        <w:rPr>
          <w:color w:val="231F20"/>
          <w:spacing w:val="-6"/>
          <w:sz w:val="19"/>
        </w:rPr>
        <w:t xml:space="preserve"> </w:t>
      </w:r>
      <w:r>
        <w:rPr>
          <w:color w:val="231F20"/>
          <w:sz w:val="19"/>
        </w:rPr>
        <w:t>spontaneous</w:t>
      </w:r>
      <w:r>
        <w:rPr>
          <w:color w:val="231F20"/>
          <w:spacing w:val="-7"/>
          <w:sz w:val="19"/>
        </w:rPr>
        <w:t xml:space="preserve"> </w:t>
      </w:r>
      <w:r>
        <w:rPr>
          <w:color w:val="231F20"/>
          <w:sz w:val="19"/>
        </w:rPr>
        <w:t>subarachnoid hemorrhage,</w:t>
      </w:r>
      <w:r>
        <w:rPr>
          <w:color w:val="231F20"/>
          <w:spacing w:val="-8"/>
          <w:sz w:val="19"/>
        </w:rPr>
        <w:t xml:space="preserve"> </w:t>
      </w:r>
      <w:r>
        <w:rPr>
          <w:color w:val="231F20"/>
          <w:sz w:val="19"/>
        </w:rPr>
        <w:t>apoptosis-related</w:t>
      </w:r>
      <w:r>
        <w:rPr>
          <w:color w:val="231F20"/>
          <w:spacing w:val="-7"/>
          <w:sz w:val="19"/>
        </w:rPr>
        <w:t xml:space="preserve"> </w:t>
      </w:r>
      <w:r>
        <w:rPr>
          <w:color w:val="231F20"/>
          <w:sz w:val="19"/>
        </w:rPr>
        <w:t>factors,</w:t>
      </w:r>
      <w:r>
        <w:rPr>
          <w:color w:val="231F20"/>
          <w:spacing w:val="-6"/>
          <w:sz w:val="19"/>
        </w:rPr>
        <w:t xml:space="preserve"> </w:t>
      </w:r>
      <w:r>
        <w:rPr>
          <w:color w:val="231F20"/>
          <w:sz w:val="19"/>
        </w:rPr>
        <w:t>and</w:t>
      </w:r>
      <w:r>
        <w:rPr>
          <w:color w:val="231F20"/>
          <w:spacing w:val="-6"/>
          <w:sz w:val="19"/>
        </w:rPr>
        <w:t xml:space="preserve"> </w:t>
      </w:r>
      <w:r>
        <w:rPr>
          <w:color w:val="231F20"/>
          <w:sz w:val="19"/>
        </w:rPr>
        <w:t>serum</w:t>
      </w:r>
      <w:r>
        <w:rPr>
          <w:color w:val="231F20"/>
          <w:spacing w:val="-7"/>
          <w:sz w:val="19"/>
        </w:rPr>
        <w:t xml:space="preserve"> </w:t>
      </w:r>
      <w:r>
        <w:rPr>
          <w:color w:val="231F20"/>
          <w:sz w:val="19"/>
        </w:rPr>
        <w:t>inflammatory</w:t>
      </w:r>
      <w:r>
        <w:rPr>
          <w:color w:val="231F20"/>
          <w:spacing w:val="-7"/>
          <w:sz w:val="19"/>
        </w:rPr>
        <w:t xml:space="preserve"> </w:t>
      </w:r>
      <w:r>
        <w:rPr>
          <w:color w:val="231F20"/>
          <w:sz w:val="19"/>
        </w:rPr>
        <w:t>factors</w:t>
      </w:r>
      <w:r>
        <w:rPr>
          <w:color w:val="231F20"/>
          <w:spacing w:val="-7"/>
          <w:sz w:val="19"/>
        </w:rPr>
        <w:t xml:space="preserve"> </w:t>
      </w:r>
      <w:r>
        <w:rPr>
          <w:color w:val="231F20"/>
          <w:sz w:val="19"/>
        </w:rPr>
        <w:t>in</w:t>
      </w:r>
      <w:r>
        <w:rPr>
          <w:color w:val="231F20"/>
          <w:spacing w:val="-6"/>
          <w:sz w:val="19"/>
        </w:rPr>
        <w:t xml:space="preserve"> </w:t>
      </w:r>
      <w:r>
        <w:rPr>
          <w:color w:val="231F20"/>
          <w:sz w:val="19"/>
        </w:rPr>
        <w:t>cerebrospinal</w:t>
      </w:r>
      <w:r>
        <w:rPr>
          <w:color w:val="231F20"/>
          <w:spacing w:val="-7"/>
          <w:sz w:val="19"/>
        </w:rPr>
        <w:t xml:space="preserve"> </w:t>
      </w:r>
      <w:r>
        <w:rPr>
          <w:color w:val="231F20"/>
          <w:sz w:val="19"/>
        </w:rPr>
        <w:t>fluid</w:t>
      </w:r>
      <w:r>
        <w:rPr>
          <w:color w:val="231F20"/>
          <w:spacing w:val="-6"/>
          <w:sz w:val="19"/>
        </w:rPr>
        <w:t xml:space="preserve"> </w:t>
      </w:r>
      <w:r>
        <w:rPr>
          <w:color w:val="231F20"/>
          <w:sz w:val="19"/>
        </w:rPr>
        <w:t>and</w:t>
      </w:r>
      <w:r>
        <w:rPr>
          <w:color w:val="231F20"/>
          <w:spacing w:val="-6"/>
          <w:sz w:val="19"/>
        </w:rPr>
        <w:t xml:space="preserve"> </w:t>
      </w:r>
      <w:r>
        <w:rPr>
          <w:color w:val="231F20"/>
          <w:sz w:val="19"/>
        </w:rPr>
        <w:t>to</w:t>
      </w:r>
      <w:r>
        <w:rPr>
          <w:color w:val="231F20"/>
          <w:spacing w:val="-7"/>
          <w:sz w:val="19"/>
        </w:rPr>
        <w:t xml:space="preserve"> </w:t>
      </w:r>
      <w:r>
        <w:rPr>
          <w:color w:val="231F20"/>
          <w:sz w:val="19"/>
        </w:rPr>
        <w:t>observe</w:t>
      </w:r>
      <w:r>
        <w:rPr>
          <w:color w:val="231F20"/>
          <w:spacing w:val="-6"/>
          <w:sz w:val="19"/>
        </w:rPr>
        <w:t xml:space="preserve"> </w:t>
      </w:r>
      <w:r>
        <w:rPr>
          <w:color w:val="231F20"/>
          <w:sz w:val="19"/>
        </w:rPr>
        <w:t>its</w:t>
      </w:r>
      <w:r>
        <w:rPr>
          <w:color w:val="231F20"/>
          <w:spacing w:val="-6"/>
          <w:sz w:val="19"/>
        </w:rPr>
        <w:t xml:space="preserve"> </w:t>
      </w:r>
      <w:r>
        <w:rPr>
          <w:color w:val="231F20"/>
          <w:sz w:val="19"/>
        </w:rPr>
        <w:t>neuroprotective</w:t>
      </w:r>
      <w:r>
        <w:rPr>
          <w:color w:val="231F20"/>
          <w:spacing w:val="-7"/>
          <w:sz w:val="19"/>
        </w:rPr>
        <w:t xml:space="preserve"> </w:t>
      </w:r>
      <w:r>
        <w:rPr>
          <w:color w:val="231F20"/>
          <w:sz w:val="19"/>
        </w:rPr>
        <w:t>effect mediated by relieving vasospasm.</w:t>
      </w:r>
    </w:p>
    <w:p>
      <w:pPr>
        <w:spacing w:before="0" w:line="264" w:lineRule="auto"/>
        <w:ind w:left="117" w:right="115" w:firstLine="0"/>
        <w:jc w:val="both"/>
        <w:rPr>
          <w:rFonts w:hint="default"/>
          <w:color w:val="231F20"/>
          <w:sz w:val="19"/>
          <w:lang w:val="en-US" w:eastAsia="zh-CN"/>
        </w:rPr>
      </w:pPr>
      <w:r>
        <w:rPr>
          <w:b/>
          <w:color w:val="32327F"/>
          <w:sz w:val="19"/>
        </w:rPr>
        <w:t>Methods/Design:</w:t>
      </w:r>
      <w:r>
        <w:rPr>
          <w:b/>
          <w:color w:val="32327F"/>
          <w:spacing w:val="-14"/>
          <w:sz w:val="19"/>
        </w:rPr>
        <w:t xml:space="preserve"> </w:t>
      </w:r>
      <w:r>
        <w:rPr>
          <w:color w:val="231F20"/>
          <w:sz w:val="19"/>
        </w:rPr>
        <w:t>This</w:t>
      </w:r>
      <w:r>
        <w:rPr>
          <w:color w:val="231F20"/>
          <w:spacing w:val="-9"/>
          <w:sz w:val="19"/>
        </w:rPr>
        <w:t xml:space="preserve"> </w:t>
      </w:r>
      <w:r>
        <w:rPr>
          <w:color w:val="231F20"/>
          <w:sz w:val="19"/>
        </w:rPr>
        <w:t>is</w:t>
      </w:r>
      <w:r>
        <w:rPr>
          <w:color w:val="231F20"/>
          <w:spacing w:val="-9"/>
          <w:sz w:val="19"/>
        </w:rPr>
        <w:t xml:space="preserve"> </w:t>
      </w:r>
      <w:r>
        <w:rPr>
          <w:color w:val="231F20"/>
          <w:sz w:val="19"/>
        </w:rPr>
        <w:t>a</w:t>
      </w:r>
      <w:r>
        <w:rPr>
          <w:color w:val="231F20"/>
          <w:spacing w:val="-9"/>
          <w:sz w:val="19"/>
        </w:rPr>
        <w:t xml:space="preserve"> </w:t>
      </w:r>
      <w:r>
        <w:rPr>
          <w:color w:val="231F20"/>
          <w:sz w:val="19"/>
        </w:rPr>
        <w:t>randomized</w:t>
      </w:r>
      <w:r>
        <w:rPr>
          <w:color w:val="231F20"/>
          <w:spacing w:val="-10"/>
          <w:sz w:val="19"/>
        </w:rPr>
        <w:t xml:space="preserve"> </w:t>
      </w:r>
      <w:r>
        <w:rPr>
          <w:color w:val="231F20"/>
          <w:sz w:val="19"/>
        </w:rPr>
        <w:t>parallel-group</w:t>
      </w:r>
      <w:r>
        <w:rPr>
          <w:color w:val="231F20"/>
          <w:spacing w:val="-11"/>
          <w:sz w:val="19"/>
        </w:rPr>
        <w:t xml:space="preserve"> </w:t>
      </w:r>
      <w:r>
        <w:rPr>
          <w:color w:val="231F20"/>
          <w:sz w:val="19"/>
        </w:rPr>
        <w:t>placebo-controlled</w:t>
      </w:r>
      <w:r>
        <w:rPr>
          <w:color w:val="231F20"/>
          <w:spacing w:val="-10"/>
          <w:sz w:val="19"/>
        </w:rPr>
        <w:t xml:space="preserve"> </w:t>
      </w:r>
      <w:r>
        <w:rPr>
          <w:color w:val="231F20"/>
          <w:sz w:val="19"/>
        </w:rPr>
        <w:t>double-blind</w:t>
      </w:r>
      <w:r>
        <w:rPr>
          <w:color w:val="231F20"/>
          <w:spacing w:val="-10"/>
          <w:sz w:val="19"/>
        </w:rPr>
        <w:t xml:space="preserve"> </w:t>
      </w:r>
      <w:r>
        <w:rPr>
          <w:color w:val="231F20"/>
          <w:sz w:val="19"/>
        </w:rPr>
        <w:t>clinical</w:t>
      </w:r>
      <w:r>
        <w:rPr>
          <w:color w:val="231F20"/>
          <w:spacing w:val="-10"/>
          <w:sz w:val="19"/>
        </w:rPr>
        <w:t xml:space="preserve"> </w:t>
      </w:r>
      <w:r>
        <w:rPr>
          <w:color w:val="231F20"/>
          <w:sz w:val="19"/>
        </w:rPr>
        <w:t>trial.</w:t>
      </w:r>
      <w:r>
        <w:rPr>
          <w:color w:val="231F20"/>
          <w:spacing w:val="-13"/>
          <w:sz w:val="19"/>
        </w:rPr>
        <w:t xml:space="preserve"> </w:t>
      </w:r>
      <w:r>
        <w:rPr>
          <w:color w:val="231F20"/>
          <w:sz w:val="19"/>
        </w:rPr>
        <w:t>This</w:t>
      </w:r>
      <w:r>
        <w:rPr>
          <w:color w:val="231F20"/>
          <w:spacing w:val="-10"/>
          <w:sz w:val="19"/>
        </w:rPr>
        <w:t xml:space="preserve"> </w:t>
      </w:r>
      <w:r>
        <w:rPr>
          <w:color w:val="231F20"/>
          <w:sz w:val="19"/>
        </w:rPr>
        <w:t>trial</w:t>
      </w:r>
      <w:r>
        <w:rPr>
          <w:color w:val="231F20"/>
          <w:spacing w:val="-10"/>
          <w:sz w:val="19"/>
        </w:rPr>
        <w:t xml:space="preserve"> </w:t>
      </w:r>
      <w:r>
        <w:rPr>
          <w:color w:val="231F20"/>
          <w:sz w:val="19"/>
        </w:rPr>
        <w:t>will</w:t>
      </w:r>
      <w:r>
        <w:rPr>
          <w:color w:val="231F20"/>
          <w:spacing w:val="-10"/>
          <w:sz w:val="19"/>
        </w:rPr>
        <w:t xml:space="preserve"> </w:t>
      </w:r>
      <w:r>
        <w:rPr>
          <w:color w:val="231F20"/>
          <w:sz w:val="19"/>
        </w:rPr>
        <w:t>recruit</w:t>
      </w:r>
      <w:r>
        <w:rPr>
          <w:color w:val="231F20"/>
          <w:spacing w:val="-10"/>
          <w:sz w:val="19"/>
        </w:rPr>
        <w:t xml:space="preserve"> </w:t>
      </w:r>
      <w:r>
        <w:rPr>
          <w:color w:val="231F20"/>
          <w:sz w:val="19"/>
        </w:rPr>
        <w:t>300</w:t>
      </w:r>
      <w:r>
        <w:rPr>
          <w:color w:val="231F20"/>
          <w:spacing w:val="-10"/>
          <w:sz w:val="19"/>
        </w:rPr>
        <w:t xml:space="preserve"> </w:t>
      </w:r>
      <w:r>
        <w:rPr>
          <w:color w:val="231F20"/>
          <w:sz w:val="19"/>
        </w:rPr>
        <w:t>patients with</w:t>
      </w:r>
      <w:r>
        <w:rPr>
          <w:color w:val="231F20"/>
          <w:spacing w:val="-17"/>
          <w:sz w:val="19"/>
        </w:rPr>
        <w:t xml:space="preserve"> </w:t>
      </w:r>
      <w:r>
        <w:rPr>
          <w:color w:val="231F20"/>
          <w:sz w:val="19"/>
        </w:rPr>
        <w:t>spontaneous</w:t>
      </w:r>
      <w:r>
        <w:rPr>
          <w:color w:val="231F20"/>
          <w:spacing w:val="-16"/>
          <w:sz w:val="19"/>
        </w:rPr>
        <w:t xml:space="preserve"> </w:t>
      </w:r>
      <w:r>
        <w:rPr>
          <w:color w:val="231F20"/>
          <w:sz w:val="19"/>
        </w:rPr>
        <w:t>subarachnoid</w:t>
      </w:r>
      <w:r>
        <w:rPr>
          <w:color w:val="231F20"/>
          <w:spacing w:val="-16"/>
          <w:sz w:val="19"/>
        </w:rPr>
        <w:t xml:space="preserve"> </w:t>
      </w:r>
      <w:r>
        <w:rPr>
          <w:color w:val="231F20"/>
          <w:sz w:val="19"/>
        </w:rPr>
        <w:t>hemorrhage</w:t>
      </w:r>
      <w:r>
        <w:rPr>
          <w:color w:val="231F20"/>
          <w:spacing w:val="-16"/>
          <w:sz w:val="19"/>
        </w:rPr>
        <w:t xml:space="preserve"> </w:t>
      </w:r>
      <w:r>
        <w:rPr>
          <w:color w:val="231F20"/>
          <w:sz w:val="19"/>
        </w:rPr>
        <w:t>from</w:t>
      </w:r>
      <w:r>
        <w:rPr>
          <w:color w:val="231F20"/>
          <w:spacing w:val="-17"/>
          <w:sz w:val="19"/>
        </w:rPr>
        <w:t xml:space="preserve"> </w:t>
      </w:r>
      <w:r>
        <w:rPr>
          <w:color w:val="231F20"/>
          <w:sz w:val="19"/>
        </w:rPr>
        <w:t>the</w:t>
      </w:r>
      <w:r>
        <w:rPr>
          <w:color w:val="231F20"/>
          <w:spacing w:val="-16"/>
          <w:sz w:val="19"/>
        </w:rPr>
        <w:t xml:space="preserve"> </w:t>
      </w:r>
      <w:r>
        <w:rPr>
          <w:color w:val="231F20"/>
          <w:sz w:val="19"/>
        </w:rPr>
        <w:t>Department</w:t>
      </w:r>
      <w:r>
        <w:rPr>
          <w:color w:val="231F20"/>
          <w:spacing w:val="-16"/>
          <w:sz w:val="19"/>
        </w:rPr>
        <w:t xml:space="preserve"> </w:t>
      </w:r>
      <w:r>
        <w:rPr>
          <w:color w:val="231F20"/>
          <w:sz w:val="19"/>
        </w:rPr>
        <w:t>of</w:t>
      </w:r>
      <w:r>
        <w:rPr>
          <w:color w:val="231F20"/>
          <w:spacing w:val="-16"/>
          <w:sz w:val="19"/>
        </w:rPr>
        <w:t xml:space="preserve"> </w:t>
      </w:r>
      <w:r>
        <w:rPr>
          <w:color w:val="231F20"/>
          <w:spacing w:val="-3"/>
          <w:sz w:val="19"/>
        </w:rPr>
        <w:t>Neurosurgery,</w:t>
      </w:r>
      <w:r>
        <w:rPr>
          <w:color w:val="231F20"/>
          <w:spacing w:val="-16"/>
          <w:sz w:val="19"/>
        </w:rPr>
        <w:t xml:space="preserve"> </w:t>
      </w:r>
      <w:r>
        <w:rPr>
          <w:color w:val="231F20"/>
          <w:sz w:val="19"/>
        </w:rPr>
        <w:t>101</w:t>
      </w:r>
      <w:r>
        <w:rPr>
          <w:color w:val="231F20"/>
          <w:position w:val="6"/>
          <w:sz w:val="11"/>
        </w:rPr>
        <w:t>st</w:t>
      </w:r>
      <w:r>
        <w:rPr>
          <w:color w:val="231F20"/>
          <w:spacing w:val="3"/>
          <w:position w:val="6"/>
          <w:sz w:val="11"/>
        </w:rPr>
        <w:t xml:space="preserve"> </w:t>
      </w:r>
      <w:r>
        <w:rPr>
          <w:color w:val="231F20"/>
          <w:sz w:val="19"/>
        </w:rPr>
        <w:t>Hospital</w:t>
      </w:r>
      <w:r>
        <w:rPr>
          <w:color w:val="231F20"/>
          <w:spacing w:val="-16"/>
          <w:sz w:val="19"/>
        </w:rPr>
        <w:t xml:space="preserve"> </w:t>
      </w:r>
      <w:r>
        <w:rPr>
          <w:color w:val="231F20"/>
          <w:sz w:val="19"/>
        </w:rPr>
        <w:t>of</w:t>
      </w:r>
      <w:r>
        <w:rPr>
          <w:color w:val="231F20"/>
          <w:spacing w:val="-16"/>
          <w:sz w:val="19"/>
        </w:rPr>
        <w:t xml:space="preserve"> </w:t>
      </w:r>
      <w:r>
        <w:rPr>
          <w:color w:val="231F20"/>
          <w:sz w:val="19"/>
        </w:rPr>
        <w:t>PLA</w:t>
      </w:r>
      <w:r>
        <w:rPr>
          <w:color w:val="231F20"/>
          <w:spacing w:val="-25"/>
          <w:sz w:val="19"/>
        </w:rPr>
        <w:t xml:space="preserve"> </w:t>
      </w:r>
      <w:r>
        <w:rPr>
          <w:color w:val="231F20"/>
          <w:spacing w:val="-3"/>
          <w:sz w:val="19"/>
        </w:rPr>
        <w:t>(Wuxi</w:t>
      </w:r>
      <w:r>
        <w:rPr>
          <w:color w:val="231F20"/>
          <w:spacing w:val="-19"/>
          <w:sz w:val="19"/>
        </w:rPr>
        <w:t xml:space="preserve"> </w:t>
      </w:r>
      <w:r>
        <w:rPr>
          <w:color w:val="231F20"/>
          <w:spacing w:val="-4"/>
          <w:sz w:val="19"/>
        </w:rPr>
        <w:t>Taihu</w:t>
      </w:r>
      <w:r>
        <w:rPr>
          <w:color w:val="231F20"/>
          <w:spacing w:val="-16"/>
          <w:sz w:val="19"/>
        </w:rPr>
        <w:t xml:space="preserve"> </w:t>
      </w:r>
      <w:r>
        <w:rPr>
          <w:color w:val="231F20"/>
          <w:sz w:val="19"/>
        </w:rPr>
        <w:t>Hospital)</w:t>
      </w:r>
      <w:r>
        <w:rPr>
          <w:rFonts w:hint="eastAsia" w:eastAsia="宋体"/>
          <w:color w:val="231F20"/>
          <w:sz w:val="19"/>
          <w:lang w:val="en-US" w:eastAsia="zh-CN"/>
        </w:rPr>
        <w:t>, Renmin Hospital of Wuhan University</w:t>
      </w:r>
      <w:r>
        <w:rPr>
          <w:color w:val="231F20"/>
          <w:sz w:val="19"/>
        </w:rPr>
        <w:t>.</w:t>
      </w:r>
      <w:r>
        <w:rPr>
          <w:color w:val="231F20"/>
          <w:spacing w:val="-19"/>
          <w:sz w:val="19"/>
        </w:rPr>
        <w:t xml:space="preserve"> </w:t>
      </w:r>
      <w:r>
        <w:rPr>
          <w:color w:val="231F20"/>
          <w:sz w:val="19"/>
        </w:rPr>
        <w:t>These patients will be equally and randomly assigned to atorvastatin (</w:t>
      </w:r>
      <w:r>
        <w:rPr>
          <w:rFonts w:hint="eastAsia" w:eastAsia="宋体"/>
          <w:color w:val="231F20"/>
          <w:sz w:val="19"/>
          <w:lang w:val="en-US" w:eastAsia="zh-CN"/>
        </w:rPr>
        <w:t>2</w:t>
      </w:r>
      <w:r>
        <w:rPr>
          <w:color w:val="231F20"/>
          <w:sz w:val="19"/>
        </w:rPr>
        <w:t xml:space="preserve">0 mg/day) and placebo control groups. Outcomes will be evaluated at baseline, 3, 5, and 14 days after hemorrhage, and 6 months after discharge. </w:t>
      </w:r>
      <w:r>
        <w:rPr>
          <w:rFonts w:hint="default"/>
          <w:color w:val="231F20"/>
          <w:sz w:val="19"/>
          <w:lang w:val="en-US" w:eastAsia="zh-CN"/>
        </w:rPr>
        <w:t>The primary endpoint assessed GOS at 6 months after aSAH, dichotomized as good (≥4) or poor (</w:t>
      </w:r>
      <w:r>
        <w:rPr>
          <w:rFonts w:hint="eastAsia"/>
          <w:color w:val="231F20"/>
          <w:sz w:val="19"/>
          <w:lang w:val="en-US" w:eastAsia="zh-CN"/>
        </w:rPr>
        <w:t>&lt;</w:t>
      </w:r>
      <w:r>
        <w:rPr>
          <w:rFonts w:hint="default"/>
          <w:color w:val="231F20"/>
          <w:sz w:val="19"/>
          <w:lang w:val="en-US" w:eastAsia="zh-CN"/>
        </w:rPr>
        <w:t xml:space="preserve">4) outcome. The second primary efficacy endpoint assessed all-cause mortality at 30 days after aSAH, CVS, vasospasm-related new infarction and delayed ischaemic neurological deficit(DIND) due to vasospasm within 2 weeks post-aSAH. </w:t>
      </w:r>
    </w:p>
    <w:p>
      <w:pPr>
        <w:spacing w:before="0" w:line="264" w:lineRule="auto"/>
        <w:ind w:left="117" w:right="115" w:firstLine="0"/>
        <w:jc w:val="both"/>
        <w:rPr>
          <w:sz w:val="19"/>
        </w:rPr>
      </w:pPr>
      <w:r>
        <w:rPr>
          <w:b/>
          <w:color w:val="32327F"/>
          <w:sz w:val="19"/>
        </w:rPr>
        <w:t xml:space="preserve">Discussion: </w:t>
      </w:r>
      <w:r>
        <w:rPr>
          <w:color w:val="231F20"/>
          <w:sz w:val="19"/>
        </w:rPr>
        <w:t>The results of this trial will provide data on the clinical application and neuroregenerative effect of atorvastatin in the acute stage of spontaneous subarachnoid hemorrhage.</w:t>
      </w:r>
    </w:p>
    <w:p>
      <w:pPr>
        <w:spacing w:before="0" w:line="218" w:lineRule="exact"/>
        <w:ind w:left="117" w:right="0" w:firstLine="0"/>
        <w:jc w:val="both"/>
        <w:rPr>
          <w:sz w:val="19"/>
        </w:rPr>
      </w:pPr>
      <w:r>
        <w:rPr>
          <w:b/>
          <w:color w:val="32327F"/>
          <w:sz w:val="19"/>
        </w:rPr>
        <w:t xml:space="preserve">Trial registration: </w:t>
      </w:r>
      <w:r>
        <w:rPr>
          <w:color w:val="231F20"/>
          <w:sz w:val="19"/>
        </w:rPr>
        <w:t>This trial was registered with the Chinese Clinical Trial Registry (ChiCTR-IPR-14005395) on 18 May 2014.</w:t>
      </w:r>
    </w:p>
    <w:p>
      <w:pPr>
        <w:pStyle w:val="5"/>
        <w:spacing w:before="3"/>
        <w:rPr>
          <w:sz w:val="22"/>
        </w:rPr>
      </w:pPr>
    </w:p>
    <w:p>
      <w:pPr>
        <w:spacing w:before="0"/>
        <w:ind w:left="117" w:right="0" w:firstLine="0"/>
        <w:jc w:val="left"/>
        <w:rPr>
          <w:sz w:val="19"/>
        </w:rPr>
      </w:pPr>
      <w:r>
        <w:rPr>
          <w:b/>
          <w:color w:val="32327F"/>
          <w:sz w:val="19"/>
        </w:rPr>
        <w:t xml:space="preserve">Key words: </w:t>
      </w:r>
      <w:r>
        <w:rPr>
          <w:color w:val="231F20"/>
          <w:sz w:val="19"/>
        </w:rPr>
        <w:t>clinical trial; atorvastatin; spontaneous subarachnoid hemorrhage; statins; randomized controlled trial</w:t>
      </w:r>
    </w:p>
    <w:p>
      <w:pPr>
        <w:pStyle w:val="5"/>
        <w:spacing w:before="9"/>
        <w:rPr>
          <w:sz w:val="22"/>
        </w:rPr>
      </w:pPr>
    </w:p>
    <w:p>
      <w:pPr>
        <w:spacing w:before="0" w:line="264" w:lineRule="auto"/>
        <w:ind w:left="117" w:right="120" w:firstLine="0"/>
        <w:jc w:val="both"/>
        <w:rPr>
          <w:sz w:val="19"/>
        </w:rPr>
        <w:sectPr>
          <w:footerReference r:id="rId3" w:type="default"/>
          <w:footerReference r:id="rId4" w:type="even"/>
          <w:pgSz w:w="12240" w:h="15840"/>
          <w:pgMar w:top="620" w:right="960" w:bottom="800" w:left="960" w:header="0" w:footer="602" w:gutter="0"/>
          <w:pgNumType w:start="62"/>
        </w:sectPr>
      </w:pPr>
      <w:r>
        <w:pict>
          <v:line id="_x0000_s1048" o:spid="_x0000_s1048" o:spt="20" style="position:absolute;left:0pt;margin-left:57.5pt;margin-top:30.4pt;height:0pt;width:504.15pt;mso-position-horizontal-relative:page;mso-wrap-distance-bottom:0pt;mso-wrap-distance-top:0pt;z-index:-251649024;mso-width-relative:page;mso-height-relative:page;" stroked="t" coordsize="21600,21600">
            <v:path arrowok="t"/>
            <v:fill focussize="0,0"/>
            <v:stroke weight="2pt" color="#32327F"/>
            <v:imagedata o:title=""/>
            <o:lock v:ext="edit"/>
            <w10:wrap type="topAndBottom"/>
          </v:line>
        </w:pict>
      </w:r>
      <w:r>
        <w:rPr>
          <w:b/>
          <w:color w:val="32327F"/>
          <w:sz w:val="19"/>
        </w:rPr>
        <w:t xml:space="preserve">Funding: </w:t>
      </w:r>
      <w:r>
        <w:rPr>
          <w:color w:val="231F20"/>
          <w:sz w:val="19"/>
        </w:rPr>
        <w:t>This study was supported by the Army Scientific Research Foundation of Nanjing Military Region of Chinese PLA; the Foundation of the 101 Hospital of Chinese PLA</w:t>
      </w:r>
    </w:p>
    <w:p>
      <w:pPr>
        <w:pStyle w:val="5"/>
        <w:spacing w:before="5"/>
        <w:rPr>
          <w:sz w:val="10"/>
        </w:rPr>
      </w:pPr>
    </w:p>
    <w:p>
      <w:pPr>
        <w:spacing w:after="0"/>
        <w:rPr>
          <w:sz w:val="10"/>
        </w:rPr>
        <w:sectPr>
          <w:headerReference r:id="rId5" w:type="default"/>
          <w:headerReference r:id="rId6" w:type="even"/>
          <w:pgSz w:w="12240" w:h="15840"/>
          <w:pgMar w:top="940" w:right="960" w:bottom="800" w:left="960" w:header="254" w:footer="602" w:gutter="0"/>
        </w:sectPr>
      </w:pPr>
    </w:p>
    <w:p>
      <w:pPr>
        <w:spacing w:before="104" w:line="338" w:lineRule="exact"/>
        <w:ind w:left="117" w:right="0" w:firstLine="0"/>
        <w:jc w:val="left"/>
        <w:rPr>
          <w:rFonts w:ascii="Calibri"/>
          <w:b/>
          <w:sz w:val="19"/>
        </w:rPr>
      </w:pPr>
      <w:r>
        <w:rPr>
          <w:rFonts w:ascii="Calibri"/>
          <w:b/>
          <w:color w:val="32327F"/>
          <w:w w:val="120"/>
          <w:sz w:val="28"/>
        </w:rPr>
        <w:t>i</w:t>
      </w:r>
      <w:r>
        <w:rPr>
          <w:rFonts w:ascii="Calibri"/>
          <w:b/>
          <w:color w:val="32327F"/>
          <w:w w:val="120"/>
          <w:sz w:val="19"/>
        </w:rPr>
        <w:t>ntroduction</w:t>
      </w:r>
    </w:p>
    <w:p>
      <w:pPr>
        <w:pStyle w:val="5"/>
        <w:spacing w:line="261" w:lineRule="auto"/>
        <w:ind w:left="117" w:right="38"/>
        <w:jc w:val="both"/>
      </w:pPr>
      <w:r>
        <w:rPr>
          <w:color w:val="231F20"/>
          <w:spacing w:val="2"/>
        </w:rPr>
        <w:t xml:space="preserve">Subarachnoid hemorrhage mainly refers </w:t>
      </w:r>
      <w:r>
        <w:rPr>
          <w:color w:val="231F20"/>
        </w:rPr>
        <w:t xml:space="preserve">to </w:t>
      </w:r>
      <w:r>
        <w:rPr>
          <w:color w:val="231F20"/>
          <w:spacing w:val="2"/>
        </w:rPr>
        <w:t xml:space="preserve">when </w:t>
      </w:r>
      <w:r>
        <w:rPr>
          <w:color w:val="231F20"/>
        </w:rPr>
        <w:t xml:space="preserve">a </w:t>
      </w:r>
      <w:r>
        <w:rPr>
          <w:color w:val="231F20"/>
          <w:spacing w:val="2"/>
        </w:rPr>
        <w:t xml:space="preserve">trau- matic </w:t>
      </w:r>
      <w:r>
        <w:rPr>
          <w:color w:val="231F20"/>
        </w:rPr>
        <w:t xml:space="preserve">or </w:t>
      </w:r>
      <w:r>
        <w:rPr>
          <w:color w:val="231F20"/>
          <w:spacing w:val="2"/>
        </w:rPr>
        <w:t xml:space="preserve">non-traumatic intracranial hemorrhage, </w:t>
      </w:r>
      <w:r>
        <w:rPr>
          <w:color w:val="231F20"/>
          <w:spacing w:val="3"/>
        </w:rPr>
        <w:t xml:space="preserve">caused </w:t>
      </w:r>
      <w:r>
        <w:rPr>
          <w:color w:val="231F20"/>
        </w:rPr>
        <w:t xml:space="preserve">by a </w:t>
      </w:r>
      <w:r>
        <w:rPr>
          <w:color w:val="231F20"/>
          <w:spacing w:val="2"/>
        </w:rPr>
        <w:t xml:space="preserve">variety </w:t>
      </w:r>
      <w:r>
        <w:rPr>
          <w:color w:val="231F20"/>
        </w:rPr>
        <w:t xml:space="preserve">of </w:t>
      </w:r>
      <w:r>
        <w:rPr>
          <w:color w:val="231F20"/>
          <w:spacing w:val="2"/>
        </w:rPr>
        <w:t xml:space="preserve">reasons, induces blood </w:t>
      </w:r>
      <w:r>
        <w:rPr>
          <w:color w:val="231F20"/>
        </w:rPr>
        <w:t xml:space="preserve">to flow </w:t>
      </w:r>
      <w:r>
        <w:rPr>
          <w:color w:val="231F20"/>
          <w:spacing w:val="2"/>
        </w:rPr>
        <w:t xml:space="preserve">into </w:t>
      </w:r>
      <w:r>
        <w:rPr>
          <w:color w:val="231F20"/>
          <w:spacing w:val="3"/>
        </w:rPr>
        <w:t xml:space="preserve">the </w:t>
      </w:r>
      <w:r>
        <w:rPr>
          <w:color w:val="231F20"/>
          <w:spacing w:val="2"/>
        </w:rPr>
        <w:t xml:space="preserve">subarachnoid space </w:t>
      </w:r>
      <w:r>
        <w:rPr>
          <w:color w:val="231F20"/>
        </w:rPr>
        <w:t xml:space="preserve">(Welty and Horner, </w:t>
      </w:r>
      <w:r>
        <w:rPr>
          <w:color w:val="231F20"/>
          <w:spacing w:val="2"/>
        </w:rPr>
        <w:t xml:space="preserve">1990; King </w:t>
      </w:r>
      <w:r>
        <w:rPr>
          <w:color w:val="231F20"/>
          <w:spacing w:val="3"/>
        </w:rPr>
        <w:t xml:space="preserve">and </w:t>
      </w:r>
      <w:r>
        <w:rPr>
          <w:color w:val="231F20"/>
          <w:spacing w:val="2"/>
        </w:rPr>
        <w:t xml:space="preserve">Martin, 1994). Non-traumatic subarachnoid </w:t>
      </w:r>
      <w:r>
        <w:rPr>
          <w:color w:val="231F20"/>
          <w:spacing w:val="3"/>
        </w:rPr>
        <w:t xml:space="preserve">hemorrhage </w:t>
      </w:r>
      <w:r>
        <w:rPr>
          <w:color w:val="231F20"/>
        </w:rPr>
        <w:t xml:space="preserve">is </w:t>
      </w:r>
      <w:r>
        <w:rPr>
          <w:color w:val="231F20"/>
          <w:spacing w:val="2"/>
        </w:rPr>
        <w:t xml:space="preserve">also known </w:t>
      </w:r>
      <w:r>
        <w:rPr>
          <w:color w:val="231F20"/>
        </w:rPr>
        <w:t xml:space="preserve">as </w:t>
      </w:r>
      <w:r>
        <w:rPr>
          <w:color w:val="231F20"/>
          <w:spacing w:val="2"/>
        </w:rPr>
        <w:t xml:space="preserve">spontaneous subarachnoid </w:t>
      </w:r>
      <w:r>
        <w:rPr>
          <w:color w:val="231F20"/>
          <w:spacing w:val="3"/>
        </w:rPr>
        <w:t xml:space="preserve">hemorrhage. </w:t>
      </w:r>
      <w:r>
        <w:rPr>
          <w:color w:val="231F20"/>
        </w:rPr>
        <w:t>Blood</w:t>
      </w:r>
      <w:r>
        <w:rPr>
          <w:color w:val="231F20"/>
          <w:spacing w:val="-14"/>
        </w:rPr>
        <w:t xml:space="preserve"> </w:t>
      </w:r>
      <w:r>
        <w:rPr>
          <w:color w:val="231F20"/>
        </w:rPr>
        <w:t>gathered</w:t>
      </w:r>
      <w:r>
        <w:rPr>
          <w:color w:val="231F20"/>
          <w:spacing w:val="-15"/>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subarachnoid</w:t>
      </w:r>
      <w:r>
        <w:rPr>
          <w:color w:val="231F20"/>
          <w:spacing w:val="-15"/>
        </w:rPr>
        <w:t xml:space="preserve"> </w:t>
      </w:r>
      <w:r>
        <w:rPr>
          <w:color w:val="231F20"/>
        </w:rPr>
        <w:t>space</w:t>
      </w:r>
      <w:r>
        <w:rPr>
          <w:color w:val="231F20"/>
          <w:spacing w:val="-15"/>
        </w:rPr>
        <w:t xml:space="preserve"> </w:t>
      </w:r>
      <w:r>
        <w:rPr>
          <w:color w:val="231F20"/>
        </w:rPr>
        <w:t>can</w:t>
      </w:r>
      <w:r>
        <w:rPr>
          <w:color w:val="231F20"/>
          <w:spacing w:val="-14"/>
        </w:rPr>
        <w:t xml:space="preserve"> </w:t>
      </w:r>
      <w:r>
        <w:rPr>
          <w:color w:val="231F20"/>
        </w:rPr>
        <w:t>cause</w:t>
      </w:r>
      <w:r>
        <w:rPr>
          <w:color w:val="231F20"/>
          <w:spacing w:val="-14"/>
        </w:rPr>
        <w:t xml:space="preserve"> </w:t>
      </w:r>
      <w:r>
        <w:rPr>
          <w:color w:val="231F20"/>
        </w:rPr>
        <w:t xml:space="preserve">severe </w:t>
      </w:r>
      <w:r>
        <w:rPr>
          <w:color w:val="231F20"/>
          <w:spacing w:val="2"/>
        </w:rPr>
        <w:t xml:space="preserve">inflammation </w:t>
      </w:r>
      <w:r>
        <w:rPr>
          <w:color w:val="231F20"/>
        </w:rPr>
        <w:t xml:space="preserve">as </w:t>
      </w:r>
      <w:r>
        <w:rPr>
          <w:color w:val="231F20"/>
          <w:spacing w:val="2"/>
        </w:rPr>
        <w:t xml:space="preserve">well </w:t>
      </w:r>
      <w:r>
        <w:rPr>
          <w:color w:val="231F20"/>
        </w:rPr>
        <w:t xml:space="preserve">as an </w:t>
      </w:r>
      <w:r>
        <w:rPr>
          <w:color w:val="231F20"/>
          <w:spacing w:val="2"/>
        </w:rPr>
        <w:t xml:space="preserve">increase </w:t>
      </w:r>
      <w:r>
        <w:rPr>
          <w:color w:val="231F20"/>
        </w:rPr>
        <w:t xml:space="preserve">in </w:t>
      </w:r>
      <w:r>
        <w:rPr>
          <w:color w:val="231F20"/>
          <w:spacing w:val="2"/>
        </w:rPr>
        <w:t xml:space="preserve">nitric oxide, </w:t>
      </w:r>
      <w:r>
        <w:rPr>
          <w:color w:val="231F20"/>
        </w:rPr>
        <w:t xml:space="preserve">en- </w:t>
      </w:r>
      <w:r>
        <w:rPr>
          <w:color w:val="231F20"/>
          <w:spacing w:val="2"/>
        </w:rPr>
        <w:t xml:space="preserve">dothelin, oxyhemoglobin, </w:t>
      </w:r>
      <w:r>
        <w:rPr>
          <w:color w:val="231F20"/>
        </w:rPr>
        <w:t xml:space="preserve">and </w:t>
      </w:r>
      <w:r>
        <w:rPr>
          <w:color w:val="231F20"/>
          <w:spacing w:val="2"/>
        </w:rPr>
        <w:t xml:space="preserve">proinflammatory cytokine </w:t>
      </w:r>
      <w:r>
        <w:rPr>
          <w:color w:val="231F20"/>
          <w:spacing w:val="3"/>
        </w:rPr>
        <w:t xml:space="preserve">levels. </w:t>
      </w:r>
      <w:r>
        <w:rPr>
          <w:color w:val="231F20"/>
          <w:spacing w:val="2"/>
        </w:rPr>
        <w:t xml:space="preserve">The </w:t>
      </w:r>
      <w:r>
        <w:rPr>
          <w:color w:val="231F20"/>
          <w:spacing w:val="3"/>
        </w:rPr>
        <w:t xml:space="preserve">collected blood </w:t>
      </w:r>
      <w:r>
        <w:rPr>
          <w:color w:val="231F20"/>
          <w:spacing w:val="2"/>
        </w:rPr>
        <w:t xml:space="preserve">may </w:t>
      </w:r>
      <w:r>
        <w:rPr>
          <w:color w:val="231F20"/>
          <w:spacing w:val="3"/>
        </w:rPr>
        <w:t xml:space="preserve">also lead </w:t>
      </w:r>
      <w:r>
        <w:rPr>
          <w:color w:val="231F20"/>
        </w:rPr>
        <w:t xml:space="preserve">to </w:t>
      </w:r>
      <w:r>
        <w:rPr>
          <w:color w:val="231F20"/>
          <w:spacing w:val="4"/>
        </w:rPr>
        <w:t xml:space="preserve">vascular </w:t>
      </w:r>
      <w:r>
        <w:rPr>
          <w:color w:val="231F20"/>
          <w:spacing w:val="2"/>
        </w:rPr>
        <w:t xml:space="preserve">spasm, stenosis, </w:t>
      </w:r>
      <w:r>
        <w:rPr>
          <w:color w:val="231F20"/>
        </w:rPr>
        <w:t xml:space="preserve">and </w:t>
      </w:r>
      <w:r>
        <w:rPr>
          <w:color w:val="231F20"/>
          <w:spacing w:val="2"/>
        </w:rPr>
        <w:t xml:space="preserve">ischemic brain damage, resulting </w:t>
      </w:r>
      <w:r>
        <w:rPr>
          <w:color w:val="231F20"/>
          <w:spacing w:val="3"/>
        </w:rPr>
        <w:t xml:space="preserve">in </w:t>
      </w:r>
      <w:r>
        <w:rPr>
          <w:color w:val="231F20"/>
          <w:spacing w:val="2"/>
        </w:rPr>
        <w:t xml:space="preserve">early brain injury </w:t>
      </w:r>
      <w:r>
        <w:rPr>
          <w:color w:val="231F20"/>
        </w:rPr>
        <w:t xml:space="preserve">and </w:t>
      </w:r>
      <w:r>
        <w:rPr>
          <w:color w:val="231F20"/>
          <w:spacing w:val="2"/>
        </w:rPr>
        <w:t xml:space="preserve">cerebral vasospasm. Early </w:t>
      </w:r>
      <w:r>
        <w:rPr>
          <w:color w:val="231F20"/>
          <w:spacing w:val="3"/>
        </w:rPr>
        <w:t xml:space="preserve">brain </w:t>
      </w:r>
      <w:r>
        <w:rPr>
          <w:color w:val="231F20"/>
          <w:spacing w:val="2"/>
        </w:rPr>
        <w:t xml:space="preserve">injury </w:t>
      </w:r>
      <w:r>
        <w:rPr>
          <w:color w:val="231F20"/>
        </w:rPr>
        <w:t xml:space="preserve">and </w:t>
      </w:r>
      <w:r>
        <w:rPr>
          <w:color w:val="231F20"/>
          <w:spacing w:val="2"/>
        </w:rPr>
        <w:t xml:space="preserve">cerebral vasospasm </w:t>
      </w:r>
      <w:r>
        <w:rPr>
          <w:color w:val="231F20"/>
        </w:rPr>
        <w:t xml:space="preserve">are the </w:t>
      </w:r>
      <w:r>
        <w:rPr>
          <w:color w:val="231F20"/>
          <w:spacing w:val="2"/>
        </w:rPr>
        <w:t xml:space="preserve">main causes </w:t>
      </w:r>
      <w:r>
        <w:rPr>
          <w:color w:val="231F20"/>
          <w:spacing w:val="3"/>
        </w:rPr>
        <w:t xml:space="preserve">of </w:t>
      </w:r>
      <w:r>
        <w:rPr>
          <w:color w:val="231F20"/>
          <w:spacing w:val="2"/>
        </w:rPr>
        <w:t xml:space="preserve">neurological dysfunction </w:t>
      </w:r>
      <w:r>
        <w:rPr>
          <w:color w:val="231F20"/>
        </w:rPr>
        <w:t xml:space="preserve">and </w:t>
      </w:r>
      <w:r>
        <w:rPr>
          <w:color w:val="231F20"/>
          <w:spacing w:val="2"/>
        </w:rPr>
        <w:t xml:space="preserve">death after </w:t>
      </w:r>
      <w:r>
        <w:rPr>
          <w:color w:val="231F20"/>
          <w:spacing w:val="3"/>
        </w:rPr>
        <w:t xml:space="preserve">subarachnoid </w:t>
      </w:r>
      <w:r>
        <w:rPr>
          <w:color w:val="231F20"/>
          <w:spacing w:val="2"/>
        </w:rPr>
        <w:t xml:space="preserve">hemorrhage (Sobey </w:t>
      </w:r>
      <w:r>
        <w:rPr>
          <w:color w:val="231F20"/>
        </w:rPr>
        <w:t xml:space="preserve">and </w:t>
      </w:r>
      <w:r>
        <w:rPr>
          <w:color w:val="231F20"/>
          <w:spacing w:val="2"/>
        </w:rPr>
        <w:t xml:space="preserve">Faraci, 1998; </w:t>
      </w:r>
      <w:r>
        <w:rPr>
          <w:color w:val="231F20"/>
        </w:rPr>
        <w:t xml:space="preserve">Tseng et </w:t>
      </w:r>
      <w:r>
        <w:rPr>
          <w:color w:val="231F20"/>
          <w:spacing w:val="2"/>
        </w:rPr>
        <w:t xml:space="preserve">al., </w:t>
      </w:r>
      <w:r>
        <w:rPr>
          <w:color w:val="231F20"/>
          <w:spacing w:val="3"/>
        </w:rPr>
        <w:t xml:space="preserve">2005; Rabinstein, </w:t>
      </w:r>
      <w:r>
        <w:rPr>
          <w:color w:val="231F20"/>
          <w:spacing w:val="2"/>
        </w:rPr>
        <w:t xml:space="preserve">2011). The </w:t>
      </w:r>
      <w:r>
        <w:rPr>
          <w:color w:val="231F20"/>
          <w:spacing w:val="3"/>
        </w:rPr>
        <w:t xml:space="preserve">delayed neurological dysfunc- </w:t>
      </w:r>
      <w:r>
        <w:rPr>
          <w:color w:val="231F20"/>
          <w:spacing w:val="2"/>
        </w:rPr>
        <w:t xml:space="preserve">tion caused </w:t>
      </w:r>
      <w:r>
        <w:rPr>
          <w:color w:val="231F20"/>
        </w:rPr>
        <w:t xml:space="preserve">by </w:t>
      </w:r>
      <w:r>
        <w:rPr>
          <w:color w:val="231F20"/>
          <w:spacing w:val="2"/>
        </w:rPr>
        <w:t xml:space="preserve">spontaneous subarachnoid hemorrhage </w:t>
      </w:r>
      <w:r>
        <w:rPr>
          <w:color w:val="231F20"/>
          <w:spacing w:val="3"/>
        </w:rPr>
        <w:t xml:space="preserve">is </w:t>
      </w:r>
      <w:r>
        <w:rPr>
          <w:color w:val="231F20"/>
        </w:rPr>
        <w:t xml:space="preserve">not </w:t>
      </w:r>
      <w:r>
        <w:rPr>
          <w:color w:val="231F20"/>
          <w:spacing w:val="2"/>
        </w:rPr>
        <w:t xml:space="preserve">primarily caused </w:t>
      </w:r>
      <w:r>
        <w:rPr>
          <w:color w:val="231F20"/>
        </w:rPr>
        <w:t xml:space="preserve">by </w:t>
      </w:r>
      <w:r>
        <w:rPr>
          <w:color w:val="231F20"/>
          <w:spacing w:val="2"/>
        </w:rPr>
        <w:t xml:space="preserve">vascular spasm, </w:t>
      </w:r>
      <w:r>
        <w:rPr>
          <w:color w:val="231F20"/>
        </w:rPr>
        <w:t xml:space="preserve">but is </w:t>
      </w:r>
      <w:r>
        <w:rPr>
          <w:color w:val="231F20"/>
          <w:spacing w:val="3"/>
        </w:rPr>
        <w:t xml:space="preserve">possibly </w:t>
      </w:r>
      <w:r>
        <w:rPr>
          <w:color w:val="231F20"/>
        </w:rPr>
        <w:t xml:space="preserve">due to </w:t>
      </w:r>
      <w:r>
        <w:rPr>
          <w:color w:val="231F20"/>
          <w:spacing w:val="2"/>
        </w:rPr>
        <w:t xml:space="preserve">early vascular dysfunction, indicating that </w:t>
      </w:r>
      <w:r>
        <w:rPr>
          <w:color w:val="231F20"/>
          <w:spacing w:val="3"/>
        </w:rPr>
        <w:t xml:space="preserve">early </w:t>
      </w:r>
      <w:r>
        <w:rPr>
          <w:color w:val="231F20"/>
          <w:spacing w:val="2"/>
        </w:rPr>
        <w:t xml:space="preserve">administration </w:t>
      </w:r>
      <w:r>
        <w:rPr>
          <w:color w:val="231F20"/>
        </w:rPr>
        <w:t xml:space="preserve">of </w:t>
      </w:r>
      <w:r>
        <w:rPr>
          <w:color w:val="231F20"/>
          <w:spacing w:val="2"/>
        </w:rPr>
        <w:t xml:space="preserve">drugs </w:t>
      </w:r>
      <w:r>
        <w:rPr>
          <w:color w:val="231F20"/>
        </w:rPr>
        <w:t xml:space="preserve">for </w:t>
      </w:r>
      <w:r>
        <w:rPr>
          <w:color w:val="231F20"/>
          <w:spacing w:val="2"/>
        </w:rPr>
        <w:t xml:space="preserve">endothelial protection </w:t>
      </w:r>
      <w:r>
        <w:rPr>
          <w:color w:val="231F20"/>
          <w:spacing w:val="3"/>
        </w:rPr>
        <w:t xml:space="preserve">may </w:t>
      </w:r>
      <w:r>
        <w:rPr>
          <w:color w:val="231F20"/>
        </w:rPr>
        <w:t xml:space="preserve">be </w:t>
      </w:r>
      <w:r>
        <w:rPr>
          <w:color w:val="231F20"/>
          <w:spacing w:val="2"/>
        </w:rPr>
        <w:t xml:space="preserve">beneficial </w:t>
      </w:r>
      <w:r>
        <w:rPr>
          <w:color w:val="231F20"/>
        </w:rPr>
        <w:t xml:space="preserve">to the </w:t>
      </w:r>
      <w:r>
        <w:rPr>
          <w:color w:val="231F20"/>
          <w:spacing w:val="2"/>
        </w:rPr>
        <w:t xml:space="preserve">prognosis </w:t>
      </w:r>
      <w:r>
        <w:rPr>
          <w:color w:val="231F20"/>
        </w:rPr>
        <w:t xml:space="preserve">of </w:t>
      </w:r>
      <w:r>
        <w:rPr>
          <w:color w:val="231F20"/>
          <w:spacing w:val="2"/>
        </w:rPr>
        <w:t xml:space="preserve">patients. Cerda </w:t>
      </w:r>
      <w:r>
        <w:rPr>
          <w:color w:val="231F20"/>
        </w:rPr>
        <w:t xml:space="preserve">et </w:t>
      </w:r>
      <w:r>
        <w:rPr>
          <w:color w:val="231F20"/>
          <w:spacing w:val="3"/>
        </w:rPr>
        <w:t xml:space="preserve">al. </w:t>
      </w:r>
      <w:r>
        <w:rPr>
          <w:color w:val="231F20"/>
          <w:spacing w:val="2"/>
        </w:rPr>
        <w:t xml:space="preserve">(2015) verified that </w:t>
      </w:r>
      <w:r>
        <w:rPr>
          <w:color w:val="231F20"/>
        </w:rPr>
        <w:t xml:space="preserve">in </w:t>
      </w:r>
      <w:r>
        <w:rPr>
          <w:color w:val="231F20"/>
          <w:spacing w:val="2"/>
        </w:rPr>
        <w:t xml:space="preserve">addition </w:t>
      </w:r>
      <w:r>
        <w:rPr>
          <w:color w:val="231F20"/>
        </w:rPr>
        <w:t xml:space="preserve">to </w:t>
      </w:r>
      <w:r>
        <w:rPr>
          <w:color w:val="231F20"/>
          <w:spacing w:val="2"/>
        </w:rPr>
        <w:t xml:space="preserve">lowering lipid, </w:t>
      </w:r>
      <w:r>
        <w:rPr>
          <w:color w:val="231F20"/>
          <w:spacing w:val="3"/>
        </w:rPr>
        <w:t xml:space="preserve">statins </w:t>
      </w:r>
      <w:r>
        <w:rPr>
          <w:color w:val="231F20"/>
          <w:spacing w:val="2"/>
        </w:rPr>
        <w:t xml:space="preserve">improve endothelial function </w:t>
      </w:r>
      <w:r>
        <w:rPr>
          <w:color w:val="231F20"/>
        </w:rPr>
        <w:t xml:space="preserve">by </w:t>
      </w:r>
      <w:r>
        <w:rPr>
          <w:color w:val="231F20"/>
          <w:spacing w:val="2"/>
        </w:rPr>
        <w:t xml:space="preserve">reducing oxygen free radical production </w:t>
      </w:r>
      <w:r>
        <w:rPr>
          <w:color w:val="231F20"/>
        </w:rPr>
        <w:t xml:space="preserve">and </w:t>
      </w:r>
      <w:r>
        <w:rPr>
          <w:color w:val="231F20"/>
          <w:spacing w:val="2"/>
        </w:rPr>
        <w:t xml:space="preserve">increasing nitric oxide </w:t>
      </w:r>
      <w:r>
        <w:rPr>
          <w:color w:val="231F20"/>
          <w:spacing w:val="3"/>
        </w:rPr>
        <w:t xml:space="preserve">synthesis </w:t>
      </w:r>
      <w:r>
        <w:rPr>
          <w:color w:val="231F20"/>
        </w:rPr>
        <w:t xml:space="preserve">in </w:t>
      </w:r>
      <w:r>
        <w:rPr>
          <w:color w:val="231F20"/>
          <w:spacing w:val="3"/>
        </w:rPr>
        <w:t xml:space="preserve">endothelial cells. Statins resist platelet </w:t>
      </w:r>
      <w:r>
        <w:rPr>
          <w:color w:val="231F20"/>
          <w:spacing w:val="4"/>
        </w:rPr>
        <w:t xml:space="preserve">aggregation </w:t>
      </w:r>
      <w:r>
        <w:rPr>
          <w:color w:val="231F20"/>
          <w:spacing w:val="2"/>
        </w:rPr>
        <w:t xml:space="preserve">(Kato </w:t>
      </w:r>
      <w:r>
        <w:rPr>
          <w:color w:val="231F20"/>
        </w:rPr>
        <w:t xml:space="preserve">et </w:t>
      </w:r>
      <w:r>
        <w:rPr>
          <w:color w:val="231F20"/>
          <w:spacing w:val="2"/>
        </w:rPr>
        <w:t xml:space="preserve">al., 2004; Antoniades </w:t>
      </w:r>
      <w:r>
        <w:rPr>
          <w:color w:val="231F20"/>
        </w:rPr>
        <w:t xml:space="preserve">et </w:t>
      </w:r>
      <w:r>
        <w:rPr>
          <w:color w:val="231F20"/>
          <w:spacing w:val="2"/>
        </w:rPr>
        <w:t xml:space="preserve">al., </w:t>
      </w:r>
      <w:r>
        <w:rPr>
          <w:color w:val="231F20"/>
        </w:rPr>
        <w:t xml:space="preserve">2011; </w:t>
      </w:r>
      <w:r>
        <w:rPr>
          <w:color w:val="231F20"/>
          <w:spacing w:val="2"/>
        </w:rPr>
        <w:t xml:space="preserve">Luzak </w:t>
      </w:r>
      <w:r>
        <w:rPr>
          <w:color w:val="231F20"/>
        </w:rPr>
        <w:t xml:space="preserve">et </w:t>
      </w:r>
      <w:r>
        <w:rPr>
          <w:color w:val="231F20"/>
          <w:spacing w:val="3"/>
        </w:rPr>
        <w:t xml:space="preserve">al., </w:t>
      </w:r>
      <w:r>
        <w:rPr>
          <w:color w:val="231F20"/>
          <w:spacing w:val="4"/>
        </w:rPr>
        <w:t xml:space="preserve">2012) </w:t>
      </w:r>
      <w:r>
        <w:rPr>
          <w:color w:val="231F20"/>
          <w:spacing w:val="3"/>
        </w:rPr>
        <w:t xml:space="preserve">and </w:t>
      </w:r>
      <w:r>
        <w:rPr>
          <w:color w:val="231F20"/>
          <w:spacing w:val="4"/>
        </w:rPr>
        <w:t xml:space="preserve">antagonize coagulation factor </w:t>
      </w:r>
      <w:r>
        <w:rPr>
          <w:color w:val="231F20"/>
          <w:spacing w:val="3"/>
        </w:rPr>
        <w:t xml:space="preserve">VII </w:t>
      </w:r>
      <w:r>
        <w:rPr>
          <w:color w:val="231F20"/>
          <w:spacing w:val="5"/>
        </w:rPr>
        <w:t xml:space="preserve">activity </w:t>
      </w:r>
      <w:r>
        <w:rPr>
          <w:color w:val="231F20"/>
          <w:spacing w:val="2"/>
        </w:rPr>
        <w:t xml:space="preserve">(Ural </w:t>
      </w:r>
      <w:r>
        <w:rPr>
          <w:color w:val="231F20"/>
        </w:rPr>
        <w:t xml:space="preserve">and Avcu, </w:t>
      </w:r>
      <w:r>
        <w:rPr>
          <w:color w:val="231F20"/>
          <w:spacing w:val="2"/>
        </w:rPr>
        <w:t xml:space="preserve">2006; Dietzen </w:t>
      </w:r>
      <w:r>
        <w:rPr>
          <w:color w:val="231F20"/>
        </w:rPr>
        <w:t xml:space="preserve">et </w:t>
      </w:r>
      <w:r>
        <w:rPr>
          <w:color w:val="231F20"/>
          <w:spacing w:val="2"/>
        </w:rPr>
        <w:t xml:space="preserve">al., 2007) </w:t>
      </w:r>
      <w:r>
        <w:rPr>
          <w:color w:val="231F20"/>
        </w:rPr>
        <w:t xml:space="preserve">by </w:t>
      </w:r>
      <w:r>
        <w:rPr>
          <w:color w:val="231F20"/>
          <w:spacing w:val="3"/>
        </w:rPr>
        <w:t xml:space="preserve">elevating </w:t>
      </w:r>
      <w:r>
        <w:rPr>
          <w:color w:val="231F20"/>
        </w:rPr>
        <w:t>nitric</w:t>
      </w:r>
      <w:r>
        <w:rPr>
          <w:color w:val="231F20"/>
          <w:spacing w:val="-8"/>
        </w:rPr>
        <w:t xml:space="preserve"> </w:t>
      </w:r>
      <w:r>
        <w:rPr>
          <w:color w:val="231F20"/>
        </w:rPr>
        <w:t>oxide</w:t>
      </w:r>
      <w:r>
        <w:rPr>
          <w:color w:val="231F20"/>
          <w:spacing w:val="-7"/>
        </w:rPr>
        <w:t xml:space="preserve"> </w:t>
      </w:r>
      <w:r>
        <w:rPr>
          <w:color w:val="231F20"/>
        </w:rPr>
        <w:t>synthase</w:t>
      </w:r>
      <w:r>
        <w:rPr>
          <w:color w:val="231F20"/>
          <w:spacing w:val="-7"/>
        </w:rPr>
        <w:t xml:space="preserve"> </w:t>
      </w:r>
      <w:r>
        <w:rPr>
          <w:color w:val="231F20"/>
        </w:rPr>
        <w:t>activity.</w:t>
      </w:r>
      <w:r>
        <w:rPr>
          <w:color w:val="231F20"/>
          <w:spacing w:val="-7"/>
        </w:rPr>
        <w:t xml:space="preserve"> </w:t>
      </w:r>
      <w:r>
        <w:rPr>
          <w:color w:val="231F20"/>
        </w:rPr>
        <w:t>Statins</w:t>
      </w:r>
      <w:r>
        <w:rPr>
          <w:color w:val="231F20"/>
          <w:spacing w:val="-5"/>
        </w:rPr>
        <w:t xml:space="preserve"> </w:t>
      </w:r>
      <w:r>
        <w:rPr>
          <w:color w:val="231F20"/>
        </w:rPr>
        <w:t>also</w:t>
      </w:r>
      <w:r>
        <w:rPr>
          <w:color w:val="231F20"/>
          <w:spacing w:val="-7"/>
        </w:rPr>
        <w:t xml:space="preserve"> </w:t>
      </w:r>
      <w:r>
        <w:rPr>
          <w:color w:val="231F20"/>
        </w:rPr>
        <w:t>improve</w:t>
      </w:r>
      <w:r>
        <w:rPr>
          <w:color w:val="231F20"/>
          <w:spacing w:val="-6"/>
        </w:rPr>
        <w:t xml:space="preserve"> </w:t>
      </w:r>
      <w:r>
        <w:rPr>
          <w:color w:val="231F20"/>
        </w:rPr>
        <w:t xml:space="preserve">overall </w:t>
      </w:r>
      <w:r>
        <w:rPr>
          <w:color w:val="231F20"/>
          <w:spacing w:val="2"/>
        </w:rPr>
        <w:t xml:space="preserve">fibrinolytic </w:t>
      </w:r>
      <w:r>
        <w:rPr>
          <w:color w:val="231F20"/>
        </w:rPr>
        <w:t xml:space="preserve">activity, </w:t>
      </w:r>
      <w:r>
        <w:rPr>
          <w:color w:val="231F20"/>
          <w:spacing w:val="2"/>
        </w:rPr>
        <w:t xml:space="preserve">reduce </w:t>
      </w:r>
      <w:r>
        <w:rPr>
          <w:color w:val="231F20"/>
        </w:rPr>
        <w:t xml:space="preserve">the </w:t>
      </w:r>
      <w:r>
        <w:rPr>
          <w:color w:val="231F20"/>
          <w:spacing w:val="2"/>
        </w:rPr>
        <w:t xml:space="preserve">inflammatory </w:t>
      </w:r>
      <w:r>
        <w:rPr>
          <w:color w:val="231F20"/>
          <w:spacing w:val="3"/>
        </w:rPr>
        <w:t xml:space="preserve">response, </w:t>
      </w:r>
      <w:r>
        <w:rPr>
          <w:color w:val="231F20"/>
        </w:rPr>
        <w:t xml:space="preserve">maintain the integrity of the blood-brain barrier, and ease cerebral vasospasm to mitigate subarachnoid hemorrhage </w:t>
      </w:r>
      <w:r>
        <w:rPr>
          <w:color w:val="231F20"/>
          <w:spacing w:val="2"/>
        </w:rPr>
        <w:t xml:space="preserve">(Cheng </w:t>
      </w:r>
      <w:r>
        <w:rPr>
          <w:color w:val="231F20"/>
        </w:rPr>
        <w:t xml:space="preserve">et </w:t>
      </w:r>
      <w:r>
        <w:rPr>
          <w:color w:val="231F20"/>
          <w:spacing w:val="2"/>
        </w:rPr>
        <w:t>al.,</w:t>
      </w:r>
      <w:r>
        <w:rPr>
          <w:color w:val="231F20"/>
          <w:spacing w:val="16"/>
        </w:rPr>
        <w:t xml:space="preserve"> </w:t>
      </w:r>
      <w:r>
        <w:rPr>
          <w:color w:val="231F20"/>
          <w:spacing w:val="3"/>
        </w:rPr>
        <w:t>2009).</w:t>
      </w:r>
    </w:p>
    <w:p>
      <w:pPr>
        <w:pStyle w:val="5"/>
        <w:spacing w:line="261" w:lineRule="auto"/>
        <w:ind w:left="117" w:right="41" w:firstLine="170"/>
        <w:jc w:val="both"/>
      </w:pPr>
      <w:r>
        <w:rPr>
          <w:color w:val="231F20"/>
        </w:rPr>
        <w:t xml:space="preserve">Many animal studies have shown that statins have neu- roprotective effects on subarachnoid hemorrhage </w:t>
      </w:r>
      <w:r>
        <w:rPr>
          <w:color w:val="231F20"/>
          <w:spacing w:val="-4"/>
        </w:rPr>
        <w:t xml:space="preserve">(Tseng </w:t>
      </w:r>
      <w:r>
        <w:rPr>
          <w:color w:val="231F20"/>
        </w:rPr>
        <w:t xml:space="preserve">et al., 2005; Chou et al., 2008; McGirt et al., 2009; </w:t>
      </w:r>
      <w:r>
        <w:rPr>
          <w:color w:val="231F20"/>
          <w:spacing w:val="-8"/>
        </w:rPr>
        <w:t xml:space="preserve">Ver- </w:t>
      </w:r>
      <w:r>
        <w:rPr>
          <w:color w:val="231F20"/>
        </w:rPr>
        <w:t xml:space="preserve">gouwen et al., 2009; Garg et al., 2013; Kirkpatrick et al., 2014; </w:t>
      </w:r>
      <w:r>
        <w:rPr>
          <w:color w:val="231F20"/>
          <w:spacing w:val="-3"/>
        </w:rPr>
        <w:t xml:space="preserve">Yoshimura </w:t>
      </w:r>
      <w:r>
        <w:rPr>
          <w:color w:val="231F20"/>
        </w:rPr>
        <w:t>et al., 2014), but its clinical therapeutic effects remain controversial. Garg et al. (2013) confirmed that</w:t>
      </w:r>
      <w:r>
        <w:rPr>
          <w:color w:val="231F20"/>
          <w:spacing w:val="-8"/>
        </w:rPr>
        <w:t xml:space="preserve"> </w:t>
      </w:r>
      <w:r>
        <w:rPr>
          <w:color w:val="231F20"/>
        </w:rPr>
        <w:t>simvastatin</w:t>
      </w:r>
      <w:r>
        <w:rPr>
          <w:color w:val="231F20"/>
          <w:spacing w:val="-9"/>
        </w:rPr>
        <w:t xml:space="preserve"> </w:t>
      </w:r>
      <w:r>
        <w:rPr>
          <w:color w:val="231F20"/>
        </w:rPr>
        <w:t>may</w:t>
      </w:r>
      <w:r>
        <w:rPr>
          <w:color w:val="231F20"/>
          <w:spacing w:val="-7"/>
        </w:rPr>
        <w:t xml:space="preserve"> </w:t>
      </w:r>
      <w:r>
        <w:rPr>
          <w:color w:val="231F20"/>
        </w:rPr>
        <w:t>relieve</w:t>
      </w:r>
      <w:r>
        <w:rPr>
          <w:color w:val="231F20"/>
          <w:spacing w:val="-9"/>
        </w:rPr>
        <w:t xml:space="preserve"> </w:t>
      </w:r>
      <w:r>
        <w:rPr>
          <w:color w:val="231F20"/>
        </w:rPr>
        <w:t>cerebral</w:t>
      </w:r>
      <w:r>
        <w:rPr>
          <w:color w:val="231F20"/>
          <w:spacing w:val="-8"/>
        </w:rPr>
        <w:t xml:space="preserve"> </w:t>
      </w:r>
      <w:r>
        <w:rPr>
          <w:color w:val="231F20"/>
        </w:rPr>
        <w:t>vasospasm</w:t>
      </w:r>
      <w:r>
        <w:rPr>
          <w:color w:val="231F20"/>
          <w:spacing w:val="-8"/>
        </w:rPr>
        <w:t xml:space="preserve"> </w:t>
      </w:r>
      <w:r>
        <w:rPr>
          <w:color w:val="231F20"/>
        </w:rPr>
        <w:t>after</w:t>
      </w:r>
      <w:r>
        <w:rPr>
          <w:color w:val="231F20"/>
          <w:spacing w:val="-8"/>
        </w:rPr>
        <w:t xml:space="preserve"> </w:t>
      </w:r>
      <w:r>
        <w:rPr>
          <w:color w:val="231F20"/>
        </w:rPr>
        <w:t xml:space="preserve">sub- </w:t>
      </w:r>
      <w:r>
        <w:rPr>
          <w:color w:val="231F20"/>
          <w:spacing w:val="-3"/>
        </w:rPr>
        <w:t>arachnoid</w:t>
      </w:r>
      <w:r>
        <w:rPr>
          <w:color w:val="231F20"/>
          <w:spacing w:val="-17"/>
        </w:rPr>
        <w:t xml:space="preserve"> </w:t>
      </w:r>
      <w:r>
        <w:rPr>
          <w:color w:val="231F20"/>
          <w:spacing w:val="-3"/>
        </w:rPr>
        <w:t>hemorrhage,</w:t>
      </w:r>
      <w:r>
        <w:rPr>
          <w:color w:val="231F20"/>
          <w:spacing w:val="-17"/>
        </w:rPr>
        <w:t xml:space="preserve"> </w:t>
      </w:r>
      <w:r>
        <w:rPr>
          <w:color w:val="231F20"/>
        </w:rPr>
        <w:t>but</w:t>
      </w:r>
      <w:r>
        <w:rPr>
          <w:color w:val="231F20"/>
          <w:spacing w:val="-17"/>
        </w:rPr>
        <w:t xml:space="preserve"> </w:t>
      </w:r>
      <w:r>
        <w:rPr>
          <w:color w:val="231F20"/>
          <w:spacing w:val="-3"/>
        </w:rPr>
        <w:t>cannot</w:t>
      </w:r>
      <w:r>
        <w:rPr>
          <w:color w:val="231F20"/>
          <w:spacing w:val="-16"/>
        </w:rPr>
        <w:t xml:space="preserve"> </w:t>
      </w:r>
      <w:r>
        <w:rPr>
          <w:color w:val="231F20"/>
          <w:spacing w:val="-3"/>
        </w:rPr>
        <w:t>improve</w:t>
      </w:r>
      <w:r>
        <w:rPr>
          <w:color w:val="231F20"/>
          <w:spacing w:val="-17"/>
        </w:rPr>
        <w:t xml:space="preserve"> </w:t>
      </w:r>
      <w:r>
        <w:rPr>
          <w:color w:val="231F20"/>
          <w:spacing w:val="-3"/>
        </w:rPr>
        <w:t>patient</w:t>
      </w:r>
      <w:r>
        <w:rPr>
          <w:color w:val="231F20"/>
          <w:spacing w:val="-17"/>
        </w:rPr>
        <w:t xml:space="preserve"> </w:t>
      </w:r>
      <w:r>
        <w:rPr>
          <w:color w:val="231F20"/>
          <w:spacing w:val="-3"/>
        </w:rPr>
        <w:t xml:space="preserve">outcome. </w:t>
      </w:r>
      <w:r>
        <w:rPr>
          <w:color w:val="231F20"/>
        </w:rPr>
        <w:t>At present, there are few data concerning clinical applica- tion of statins in patients with spontaneous subarachnoid hemorrhage, and those studies that do exist have small sample</w:t>
      </w:r>
      <w:r>
        <w:rPr>
          <w:color w:val="231F20"/>
          <w:spacing w:val="-12"/>
        </w:rPr>
        <w:t xml:space="preserve"> </w:t>
      </w:r>
      <w:r>
        <w:rPr>
          <w:color w:val="231F20"/>
        </w:rPr>
        <w:t>sizes.</w:t>
      </w:r>
      <w:r>
        <w:rPr>
          <w:color w:val="231F20"/>
          <w:spacing w:val="-15"/>
        </w:rPr>
        <w:t xml:space="preserve"> </w:t>
      </w:r>
      <w:r>
        <w:rPr>
          <w:color w:val="231F20"/>
          <w:spacing w:val="-8"/>
        </w:rPr>
        <w:t>To</w:t>
      </w:r>
      <w:r>
        <w:rPr>
          <w:color w:val="231F20"/>
          <w:spacing w:val="-11"/>
        </w:rPr>
        <w:t xml:space="preserve"> </w:t>
      </w:r>
      <w:r>
        <w:rPr>
          <w:color w:val="231F20"/>
        </w:rPr>
        <w:t>reach</w:t>
      </w:r>
      <w:r>
        <w:rPr>
          <w:color w:val="231F20"/>
          <w:spacing w:val="-11"/>
        </w:rPr>
        <w:t xml:space="preserve"> </w:t>
      </w:r>
      <w:r>
        <w:rPr>
          <w:color w:val="231F20"/>
        </w:rPr>
        <w:t>a</w:t>
      </w:r>
      <w:r>
        <w:rPr>
          <w:color w:val="231F20"/>
          <w:spacing w:val="-11"/>
        </w:rPr>
        <w:t xml:space="preserve"> </w:t>
      </w:r>
      <w:r>
        <w:rPr>
          <w:color w:val="231F20"/>
        </w:rPr>
        <w:t>convincing</w:t>
      </w:r>
      <w:r>
        <w:rPr>
          <w:color w:val="231F20"/>
          <w:spacing w:val="-11"/>
        </w:rPr>
        <w:t xml:space="preserve"> </w:t>
      </w:r>
      <w:r>
        <w:rPr>
          <w:color w:val="231F20"/>
        </w:rPr>
        <w:t>conclusion,</w:t>
      </w:r>
      <w:r>
        <w:rPr>
          <w:color w:val="231F20"/>
          <w:spacing w:val="-11"/>
        </w:rPr>
        <w:t xml:space="preserve"> </w:t>
      </w:r>
      <w:r>
        <w:rPr>
          <w:color w:val="231F20"/>
        </w:rPr>
        <w:t>the</w:t>
      </w:r>
      <w:r>
        <w:rPr>
          <w:color w:val="231F20"/>
          <w:spacing w:val="-11"/>
        </w:rPr>
        <w:t xml:space="preserve"> </w:t>
      </w:r>
      <w:r>
        <w:rPr>
          <w:color w:val="231F20"/>
        </w:rPr>
        <w:t xml:space="preserve">results of a </w:t>
      </w:r>
      <w:r>
        <w:rPr>
          <w:color w:val="231F20"/>
          <w:spacing w:val="2"/>
        </w:rPr>
        <w:t xml:space="preserve">large-sample, double-blind, randomized, </w:t>
      </w:r>
      <w:r>
        <w:rPr>
          <w:color w:val="231F20"/>
          <w:spacing w:val="3"/>
        </w:rPr>
        <w:t xml:space="preserve">placebo- </w:t>
      </w:r>
      <w:r>
        <w:rPr>
          <w:color w:val="231F20"/>
        </w:rPr>
        <w:t>controlled</w:t>
      </w:r>
      <w:r>
        <w:rPr>
          <w:color w:val="231F20"/>
          <w:spacing w:val="-13"/>
        </w:rPr>
        <w:t xml:space="preserve"> </w:t>
      </w:r>
      <w:r>
        <w:rPr>
          <w:color w:val="231F20"/>
        </w:rPr>
        <w:t>trial</w:t>
      </w:r>
      <w:r>
        <w:rPr>
          <w:color w:val="231F20"/>
          <w:spacing w:val="-12"/>
        </w:rPr>
        <w:t xml:space="preserve"> </w:t>
      </w:r>
      <w:r>
        <w:rPr>
          <w:color w:val="231F20"/>
        </w:rPr>
        <w:t>are</w:t>
      </w:r>
      <w:r>
        <w:rPr>
          <w:color w:val="231F20"/>
          <w:spacing w:val="-12"/>
        </w:rPr>
        <w:t xml:space="preserve"> </w:t>
      </w:r>
      <w:r>
        <w:rPr>
          <w:color w:val="231F20"/>
        </w:rPr>
        <w:t>needed.</w:t>
      </w:r>
      <w:r>
        <w:rPr>
          <w:color w:val="231F20"/>
          <w:spacing w:val="-16"/>
        </w:rPr>
        <w:t xml:space="preserve"> </w:t>
      </w:r>
      <w:r>
        <w:rPr>
          <w:color w:val="231F20"/>
        </w:rPr>
        <w:t>Thus,</w:t>
      </w:r>
      <w:r>
        <w:rPr>
          <w:color w:val="231F20"/>
          <w:spacing w:val="-13"/>
        </w:rPr>
        <w:t xml:space="preserve"> </w:t>
      </w:r>
      <w:r>
        <w:rPr>
          <w:color w:val="231F20"/>
        </w:rPr>
        <w:t>the</w:t>
      </w:r>
      <w:r>
        <w:rPr>
          <w:color w:val="231F20"/>
          <w:spacing w:val="-12"/>
        </w:rPr>
        <w:t xml:space="preserve"> </w:t>
      </w:r>
      <w:r>
        <w:rPr>
          <w:color w:val="231F20"/>
        </w:rPr>
        <w:t>present</w:t>
      </w:r>
      <w:r>
        <w:rPr>
          <w:color w:val="231F20"/>
          <w:spacing w:val="-12"/>
        </w:rPr>
        <w:t xml:space="preserve"> </w:t>
      </w:r>
      <w:r>
        <w:rPr>
          <w:color w:val="231F20"/>
        </w:rPr>
        <w:t>proposed</w:t>
      </w:r>
      <w:r>
        <w:rPr>
          <w:color w:val="231F20"/>
          <w:spacing w:val="-12"/>
        </w:rPr>
        <w:t xml:space="preserve"> </w:t>
      </w:r>
      <w:r>
        <w:rPr>
          <w:color w:val="231F20"/>
        </w:rPr>
        <w:t>ran- domized, parallel-group, placebo-controlled,</w:t>
      </w:r>
      <w:r>
        <w:rPr>
          <w:color w:val="231F20"/>
          <w:spacing w:val="-17"/>
        </w:rPr>
        <w:t xml:space="preserve"> </w:t>
      </w:r>
      <w:r>
        <w:rPr>
          <w:color w:val="231F20"/>
        </w:rPr>
        <w:t xml:space="preserve">double-blind clinical trial has been designed to determine the effects </w:t>
      </w:r>
      <w:r>
        <w:rPr>
          <w:color w:val="231F20"/>
          <w:spacing w:val="-6"/>
        </w:rPr>
        <w:t xml:space="preserve">of </w:t>
      </w:r>
      <w:r>
        <w:rPr>
          <w:color w:val="231F20"/>
        </w:rPr>
        <w:t>atorvastatin on spontaneous subarachnoid</w:t>
      </w:r>
      <w:r>
        <w:rPr>
          <w:color w:val="231F20"/>
          <w:spacing w:val="44"/>
        </w:rPr>
        <w:t xml:space="preserve"> </w:t>
      </w:r>
      <w:r>
        <w:rPr>
          <w:color w:val="231F20"/>
        </w:rPr>
        <w:t>hemorrhage,</w:t>
      </w:r>
    </w:p>
    <w:p>
      <w:pPr>
        <w:pStyle w:val="5"/>
        <w:spacing w:before="107" w:line="259" w:lineRule="auto"/>
        <w:ind w:left="117" w:right="114"/>
        <w:jc w:val="both"/>
      </w:pPr>
      <w:r>
        <w:br w:type="column"/>
      </w:r>
      <w:r>
        <w:rPr>
          <w:color w:val="231F20"/>
        </w:rPr>
        <w:t>apoptosis-related factors, and serum inflammatory factors in cerebrospinal fluid.</w:t>
      </w:r>
    </w:p>
    <w:p>
      <w:pPr>
        <w:pStyle w:val="5"/>
        <w:spacing w:before="11"/>
        <w:rPr>
          <w:sz w:val="22"/>
        </w:rPr>
      </w:pPr>
    </w:p>
    <w:p>
      <w:pPr>
        <w:spacing w:before="0" w:line="334" w:lineRule="exact"/>
        <w:ind w:left="117" w:right="0" w:firstLine="0"/>
        <w:jc w:val="left"/>
        <w:rPr>
          <w:rFonts w:ascii="Calibri"/>
          <w:b/>
          <w:sz w:val="19"/>
        </w:rPr>
      </w:pPr>
      <w:r>
        <w:rPr>
          <w:rFonts w:ascii="Calibri"/>
          <w:b/>
          <w:color w:val="32327F"/>
          <w:w w:val="115"/>
          <w:sz w:val="28"/>
        </w:rPr>
        <w:t>M</w:t>
      </w:r>
      <w:r>
        <w:rPr>
          <w:rFonts w:ascii="Calibri"/>
          <w:b/>
          <w:color w:val="32327F"/>
          <w:w w:val="115"/>
          <w:sz w:val="19"/>
        </w:rPr>
        <w:t>ethods</w:t>
      </w:r>
      <w:r>
        <w:rPr>
          <w:rFonts w:ascii="Calibri"/>
          <w:b/>
          <w:color w:val="32327F"/>
          <w:w w:val="115"/>
          <w:sz w:val="28"/>
        </w:rPr>
        <w:t>/d</w:t>
      </w:r>
      <w:r>
        <w:rPr>
          <w:rFonts w:ascii="Calibri"/>
          <w:b/>
          <w:color w:val="32327F"/>
          <w:w w:val="115"/>
          <w:sz w:val="19"/>
        </w:rPr>
        <w:t>esign</w:t>
      </w:r>
    </w:p>
    <w:p>
      <w:pPr>
        <w:pStyle w:val="3"/>
        <w:spacing w:line="249" w:lineRule="exact"/>
      </w:pPr>
      <w:r>
        <w:rPr>
          <w:color w:val="32327F"/>
        </w:rPr>
        <w:t>Study design</w:t>
      </w:r>
    </w:p>
    <w:p>
      <w:pPr>
        <w:pStyle w:val="5"/>
        <w:spacing w:before="7" w:line="259" w:lineRule="auto"/>
        <w:ind w:left="117" w:right="106"/>
        <w:jc w:val="left"/>
      </w:pPr>
      <w:r>
        <w:rPr>
          <w:color w:val="231F20"/>
          <w:spacing w:val="4"/>
        </w:rPr>
        <w:t xml:space="preserve">This </w:t>
      </w:r>
      <w:r>
        <w:rPr>
          <w:color w:val="231F20"/>
          <w:spacing w:val="5"/>
        </w:rPr>
        <w:t xml:space="preserve">randomized, parallel-group, </w:t>
      </w:r>
      <w:r>
        <w:rPr>
          <w:color w:val="231F20"/>
          <w:spacing w:val="6"/>
        </w:rPr>
        <w:t>placebo-controlled,</w:t>
      </w:r>
      <w:r>
        <w:rPr>
          <w:color w:val="231F20"/>
          <w:spacing w:val="64"/>
        </w:rPr>
        <w:t xml:space="preserve"> </w:t>
      </w:r>
      <w:r>
        <w:rPr>
          <w:color w:val="231F20"/>
          <w:spacing w:val="2"/>
        </w:rPr>
        <w:t xml:space="preserve">double-blind clinical trial will </w:t>
      </w:r>
      <w:r>
        <w:rPr>
          <w:color w:val="231F20"/>
        </w:rPr>
        <w:t xml:space="preserve">be </w:t>
      </w:r>
      <w:r>
        <w:rPr>
          <w:color w:val="231F20"/>
          <w:spacing w:val="2"/>
        </w:rPr>
        <w:t xml:space="preserve">conducted </w:t>
      </w:r>
      <w:r>
        <w:rPr>
          <w:color w:val="231F20"/>
        </w:rPr>
        <w:t>in the De- partment of Neurosurgery at 101</w:t>
      </w:r>
      <w:r>
        <w:rPr>
          <w:color w:val="231F20"/>
          <w:position w:val="7"/>
          <w:sz w:val="12"/>
        </w:rPr>
        <w:t xml:space="preserve">st </w:t>
      </w:r>
      <w:r>
        <w:rPr>
          <w:color w:val="231F20"/>
        </w:rPr>
        <w:t xml:space="preserve">Hospital of PLA (Wuxi Taihu </w:t>
      </w:r>
      <w:r>
        <w:rPr>
          <w:color w:val="231F20"/>
          <w:spacing w:val="3"/>
        </w:rPr>
        <w:t>Hospital)</w:t>
      </w:r>
      <w:r>
        <w:rPr>
          <w:rFonts w:hint="eastAsia" w:eastAsia="宋体"/>
          <w:color w:val="231F20"/>
          <w:spacing w:val="3"/>
          <w:lang w:val="en-US" w:eastAsia="zh-CN"/>
        </w:rPr>
        <w:t xml:space="preserve"> and Renmin Hospital of Wuhan University</w:t>
      </w:r>
      <w:r>
        <w:rPr>
          <w:color w:val="231F20"/>
          <w:spacing w:val="3"/>
        </w:rPr>
        <w:t>.</w:t>
      </w:r>
    </w:p>
    <w:p>
      <w:pPr>
        <w:pStyle w:val="5"/>
        <w:spacing w:before="4"/>
        <w:rPr>
          <w:sz w:val="22"/>
        </w:rPr>
      </w:pPr>
    </w:p>
    <w:p>
      <w:pPr>
        <w:pStyle w:val="3"/>
      </w:pPr>
      <w:r>
        <w:rPr>
          <w:color w:val="32327F"/>
        </w:rPr>
        <w:t>Ethical considerations and informed consent</w:t>
      </w:r>
    </w:p>
    <w:p>
      <w:pPr>
        <w:pStyle w:val="5"/>
        <w:spacing w:before="12" w:line="261" w:lineRule="auto"/>
        <w:ind w:left="117" w:right="110"/>
        <w:jc w:val="both"/>
      </w:pPr>
      <w:r>
        <w:rPr>
          <w:color w:val="231F20"/>
        </w:rPr>
        <w:t xml:space="preserve">An investigator or investigator-authorized personnel will </w:t>
      </w:r>
      <w:r>
        <w:rPr>
          <w:color w:val="231F20"/>
          <w:spacing w:val="2"/>
        </w:rPr>
        <w:t xml:space="preserve">explain </w:t>
      </w:r>
      <w:r>
        <w:rPr>
          <w:color w:val="231F20"/>
        </w:rPr>
        <w:t xml:space="preserve">the benefits and risks of participation to the study to </w:t>
      </w:r>
      <w:r>
        <w:rPr>
          <w:color w:val="231F20"/>
          <w:spacing w:val="2"/>
        </w:rPr>
        <w:t xml:space="preserve">each patient, family </w:t>
      </w:r>
      <w:r>
        <w:rPr>
          <w:color w:val="231F20"/>
        </w:rPr>
        <w:t xml:space="preserve">member, and </w:t>
      </w:r>
      <w:r>
        <w:rPr>
          <w:color w:val="231F20"/>
          <w:spacing w:val="2"/>
        </w:rPr>
        <w:t xml:space="preserve">guardian </w:t>
      </w:r>
      <w:r>
        <w:rPr>
          <w:color w:val="231F20"/>
        </w:rPr>
        <w:t xml:space="preserve">and </w:t>
      </w:r>
      <w:r>
        <w:rPr>
          <w:color w:val="231F20"/>
          <w:spacing w:val="3"/>
        </w:rPr>
        <w:t xml:space="preserve">obtain </w:t>
      </w:r>
      <w:r>
        <w:rPr>
          <w:color w:val="231F20"/>
          <w:spacing w:val="2"/>
        </w:rPr>
        <w:t xml:space="preserve">written informed consent. This project </w:t>
      </w:r>
      <w:r>
        <w:rPr>
          <w:color w:val="231F20"/>
        </w:rPr>
        <w:t xml:space="preserve">has </w:t>
      </w:r>
      <w:r>
        <w:rPr>
          <w:color w:val="231F20"/>
          <w:spacing w:val="2"/>
        </w:rPr>
        <w:t xml:space="preserve">obtained </w:t>
      </w:r>
      <w:r>
        <w:rPr>
          <w:color w:val="231F20"/>
          <w:spacing w:val="3"/>
        </w:rPr>
        <w:t xml:space="preserve">the </w:t>
      </w:r>
      <w:r>
        <w:rPr>
          <w:color w:val="231F20"/>
        </w:rPr>
        <w:t>written</w:t>
      </w:r>
      <w:r>
        <w:rPr>
          <w:color w:val="231F20"/>
          <w:spacing w:val="-7"/>
        </w:rPr>
        <w:t xml:space="preserve"> </w:t>
      </w:r>
      <w:r>
        <w:rPr>
          <w:color w:val="231F20"/>
        </w:rPr>
        <w:t>approval</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Medical</w:t>
      </w:r>
      <w:r>
        <w:rPr>
          <w:color w:val="231F20"/>
          <w:spacing w:val="-6"/>
        </w:rPr>
        <w:t xml:space="preserve"> </w:t>
      </w:r>
      <w:r>
        <w:rPr>
          <w:color w:val="231F20"/>
        </w:rPr>
        <w:t>Ethics</w:t>
      </w:r>
      <w:r>
        <w:rPr>
          <w:color w:val="231F20"/>
          <w:spacing w:val="-7"/>
        </w:rPr>
        <w:t xml:space="preserve"> </w:t>
      </w:r>
      <w:r>
        <w:rPr>
          <w:color w:val="231F20"/>
        </w:rPr>
        <w:t>Committee</w:t>
      </w:r>
      <w:r>
        <w:rPr>
          <w:color w:val="231F20"/>
          <w:spacing w:val="-6"/>
        </w:rPr>
        <w:t xml:space="preserve"> </w:t>
      </w:r>
      <w:r>
        <w:rPr>
          <w:color w:val="231F20"/>
        </w:rPr>
        <w:t>of</w:t>
      </w:r>
      <w:r>
        <w:rPr>
          <w:color w:val="231F20"/>
          <w:spacing w:val="-6"/>
        </w:rPr>
        <w:t xml:space="preserve"> </w:t>
      </w:r>
      <w:r>
        <w:rPr>
          <w:color w:val="231F20"/>
        </w:rPr>
        <w:t>101</w:t>
      </w:r>
      <w:r>
        <w:rPr>
          <w:color w:val="231F20"/>
          <w:position w:val="7"/>
          <w:sz w:val="12"/>
        </w:rPr>
        <w:t xml:space="preserve">st </w:t>
      </w:r>
      <w:r>
        <w:rPr>
          <w:color w:val="231F20"/>
          <w:spacing w:val="2"/>
        </w:rPr>
        <w:t xml:space="preserve">Hospital </w:t>
      </w:r>
      <w:r>
        <w:rPr>
          <w:color w:val="231F20"/>
        </w:rPr>
        <w:t xml:space="preserve">of PLA (Wuxi Taihu </w:t>
      </w:r>
      <w:r>
        <w:rPr>
          <w:color w:val="231F20"/>
          <w:spacing w:val="2"/>
        </w:rPr>
        <w:t xml:space="preserve">Hospital) (approval </w:t>
      </w:r>
      <w:r>
        <w:rPr>
          <w:color w:val="231F20"/>
          <w:spacing w:val="3"/>
        </w:rPr>
        <w:t xml:space="preserve">No. </w:t>
      </w:r>
      <w:r>
        <w:rPr>
          <w:color w:val="231F20"/>
        </w:rPr>
        <w:t>2014-YXLL-001)</w:t>
      </w:r>
      <w:r>
        <w:rPr>
          <w:color w:val="231F20"/>
          <w:spacing w:val="-12"/>
        </w:rPr>
        <w:t xml:space="preserve"> </w:t>
      </w:r>
      <w:r>
        <w:rPr>
          <w:color w:val="231F20"/>
        </w:rPr>
        <w:t>and</w:t>
      </w:r>
      <w:r>
        <w:rPr>
          <w:color w:val="231F20"/>
          <w:spacing w:val="-12"/>
        </w:rPr>
        <w:t xml:space="preserve"> </w:t>
      </w:r>
      <w:r>
        <w:rPr>
          <w:color w:val="231F20"/>
        </w:rPr>
        <w:t>is</w:t>
      </w:r>
      <w:r>
        <w:rPr>
          <w:color w:val="231F20"/>
          <w:spacing w:val="-12"/>
        </w:rPr>
        <w:t xml:space="preserve"> </w:t>
      </w:r>
      <w:r>
        <w:rPr>
          <w:color w:val="231F20"/>
        </w:rPr>
        <w:t>in</w:t>
      </w:r>
      <w:r>
        <w:rPr>
          <w:color w:val="231F20"/>
          <w:spacing w:val="-12"/>
        </w:rPr>
        <w:t xml:space="preserve"> </w:t>
      </w:r>
      <w:r>
        <w:rPr>
          <w:color w:val="231F20"/>
        </w:rPr>
        <w:t>accordance</w:t>
      </w:r>
      <w:r>
        <w:rPr>
          <w:color w:val="231F20"/>
          <w:spacing w:val="-12"/>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 xml:space="preserve">guidelines of the </w:t>
      </w:r>
      <w:r>
        <w:rPr>
          <w:i/>
          <w:color w:val="231F20"/>
          <w:spacing w:val="2"/>
        </w:rPr>
        <w:t xml:space="preserve">Declaration </w:t>
      </w:r>
      <w:r>
        <w:rPr>
          <w:i/>
          <w:color w:val="231F20"/>
        </w:rPr>
        <w:t xml:space="preserve">of </w:t>
      </w:r>
      <w:r>
        <w:rPr>
          <w:i/>
          <w:color w:val="231F20"/>
          <w:spacing w:val="2"/>
        </w:rPr>
        <w:t>Helsinki</w:t>
      </w:r>
      <w:r>
        <w:rPr>
          <w:color w:val="231F20"/>
          <w:spacing w:val="2"/>
        </w:rPr>
        <w:t xml:space="preserve">, formulated </w:t>
      </w:r>
      <w:r>
        <w:rPr>
          <w:color w:val="231F20"/>
        </w:rPr>
        <w:t xml:space="preserve">by the World </w:t>
      </w:r>
      <w:r>
        <w:rPr>
          <w:color w:val="231F20"/>
          <w:spacing w:val="2"/>
        </w:rPr>
        <w:t>Medical</w:t>
      </w:r>
      <w:r>
        <w:rPr>
          <w:color w:val="231F20"/>
          <w:spacing w:val="-6"/>
        </w:rPr>
        <w:t xml:space="preserve"> </w:t>
      </w:r>
      <w:r>
        <w:rPr>
          <w:color w:val="231F20"/>
          <w:spacing w:val="3"/>
        </w:rPr>
        <w:t>Association.</w:t>
      </w:r>
    </w:p>
    <w:p>
      <w:pPr>
        <w:pStyle w:val="5"/>
        <w:spacing w:before="2"/>
        <w:rPr>
          <w:sz w:val="23"/>
        </w:rPr>
      </w:pPr>
    </w:p>
    <w:p>
      <w:pPr>
        <w:pStyle w:val="3"/>
        <w:spacing w:before="1"/>
      </w:pPr>
      <w:r>
        <w:rPr>
          <w:color w:val="32327F"/>
        </w:rPr>
        <w:t>Study participants</w:t>
      </w:r>
    </w:p>
    <w:p>
      <w:pPr>
        <w:pStyle w:val="5"/>
        <w:spacing w:before="11" w:line="261" w:lineRule="auto"/>
        <w:ind w:left="117" w:right="107"/>
        <w:jc w:val="both"/>
      </w:pPr>
      <w:r>
        <w:rPr>
          <w:color w:val="231F20"/>
        </w:rPr>
        <w:t>Patients with spontaneous subarachnoid hemorrhage hospitalized in the Department of Neurosurgery at 101</w:t>
      </w:r>
      <w:r>
        <w:rPr>
          <w:color w:val="231F20"/>
          <w:position w:val="7"/>
          <w:sz w:val="12"/>
        </w:rPr>
        <w:t xml:space="preserve">st </w:t>
      </w:r>
      <w:r>
        <w:rPr>
          <w:color w:val="231F20"/>
        </w:rPr>
        <w:t>Hospital of PLA</w:t>
      </w:r>
      <w:r>
        <w:rPr>
          <w:rFonts w:hint="eastAsia" w:eastAsia="宋体"/>
          <w:color w:val="231F20"/>
          <w:lang w:val="en-US" w:eastAsia="zh-CN"/>
        </w:rPr>
        <w:t xml:space="preserve"> and Renmin Hospital of Wuhan University </w:t>
      </w:r>
      <w:r>
        <w:rPr>
          <w:color w:val="231F20"/>
        </w:rPr>
        <w:t>will be recruited to participate in this study.</w:t>
      </w:r>
    </w:p>
    <w:p>
      <w:pPr>
        <w:pStyle w:val="5"/>
        <w:spacing w:before="10"/>
        <w:rPr>
          <w:sz w:val="22"/>
        </w:rPr>
      </w:pPr>
    </w:p>
    <w:p>
      <w:pPr>
        <w:pStyle w:val="4"/>
        <w:rPr>
          <w:i/>
        </w:rPr>
      </w:pPr>
      <w:r>
        <w:rPr>
          <w:i/>
          <w:color w:val="32327F"/>
        </w:rPr>
        <w:t>Inclusion criteria</w:t>
      </w:r>
    </w:p>
    <w:p>
      <w:pPr>
        <w:pStyle w:val="5"/>
        <w:spacing w:before="12" w:line="261" w:lineRule="auto"/>
        <w:ind w:left="117" w:right="195"/>
      </w:pPr>
      <w:r>
        <w:rPr>
          <w:color w:val="231F20"/>
        </w:rPr>
        <w:t>Patients meeting all of the following criteria will be con- sidered for admission to the trial:</w:t>
      </w:r>
    </w:p>
    <w:p>
      <w:pPr>
        <w:pStyle w:val="10"/>
        <w:numPr>
          <w:ilvl w:val="0"/>
          <w:numId w:val="1"/>
        </w:numPr>
        <w:tabs>
          <w:tab w:val="left" w:pos="345"/>
        </w:tabs>
        <w:spacing w:before="2" w:after="0" w:line="240" w:lineRule="auto"/>
        <w:ind w:left="344" w:right="0" w:hanging="228"/>
        <w:jc w:val="left"/>
        <w:rPr>
          <w:sz w:val="21"/>
        </w:rPr>
      </w:pPr>
      <w:r>
        <w:rPr>
          <w:color w:val="231F20"/>
          <w:sz w:val="21"/>
        </w:rPr>
        <w:t xml:space="preserve">Aged </w:t>
      </w:r>
      <w:r>
        <w:rPr>
          <w:rFonts w:hint="eastAsia" w:eastAsia="宋体"/>
          <w:color w:val="231F20"/>
          <w:sz w:val="21"/>
          <w:lang w:val="en-US" w:eastAsia="zh-CN"/>
        </w:rPr>
        <w:t>6</w:t>
      </w:r>
      <w:r>
        <w:rPr>
          <w:color w:val="231F20"/>
          <w:sz w:val="21"/>
        </w:rPr>
        <w:t>0–</w:t>
      </w:r>
      <w:r>
        <w:rPr>
          <w:rFonts w:hint="eastAsia" w:eastAsia="宋体"/>
          <w:color w:val="231F20"/>
          <w:sz w:val="21"/>
          <w:lang w:val="en-US" w:eastAsia="zh-CN"/>
        </w:rPr>
        <w:t>9</w:t>
      </w:r>
      <w:r>
        <w:rPr>
          <w:color w:val="231F20"/>
          <w:sz w:val="21"/>
        </w:rPr>
        <w:t>0 years; both</w:t>
      </w:r>
      <w:r>
        <w:rPr>
          <w:color w:val="231F20"/>
          <w:spacing w:val="-2"/>
          <w:sz w:val="21"/>
        </w:rPr>
        <w:t xml:space="preserve"> </w:t>
      </w:r>
      <w:r>
        <w:rPr>
          <w:color w:val="231F20"/>
          <w:sz w:val="21"/>
        </w:rPr>
        <w:t>sexes</w:t>
      </w:r>
    </w:p>
    <w:p>
      <w:pPr>
        <w:pStyle w:val="10"/>
        <w:numPr>
          <w:ilvl w:val="0"/>
          <w:numId w:val="1"/>
        </w:numPr>
        <w:tabs>
          <w:tab w:val="left" w:pos="345"/>
        </w:tabs>
        <w:spacing w:before="22" w:after="0" w:line="240" w:lineRule="auto"/>
        <w:ind w:left="344" w:right="0" w:hanging="228"/>
        <w:jc w:val="left"/>
        <w:rPr>
          <w:sz w:val="21"/>
        </w:rPr>
      </w:pPr>
      <w:r>
        <w:rPr>
          <w:color w:val="231F20"/>
          <w:sz w:val="21"/>
        </w:rPr>
        <w:t>Sudden severe headache, vomiting, and meningeal</w:t>
      </w:r>
      <w:r>
        <w:rPr>
          <w:color w:val="231F20"/>
          <w:spacing w:val="-11"/>
          <w:sz w:val="21"/>
        </w:rPr>
        <w:t xml:space="preserve"> </w:t>
      </w:r>
      <w:r>
        <w:rPr>
          <w:color w:val="231F20"/>
          <w:sz w:val="21"/>
        </w:rPr>
        <w:t>ir-</w:t>
      </w:r>
    </w:p>
    <w:p>
      <w:pPr>
        <w:pStyle w:val="5"/>
        <w:spacing w:before="23"/>
        <w:ind w:left="344"/>
      </w:pPr>
      <w:r>
        <w:rPr>
          <w:color w:val="231F20"/>
        </w:rPr>
        <w:t>ritation (Suarez, 2015)</w:t>
      </w:r>
    </w:p>
    <w:p>
      <w:pPr>
        <w:pStyle w:val="10"/>
        <w:numPr>
          <w:ilvl w:val="0"/>
          <w:numId w:val="1"/>
        </w:numPr>
        <w:tabs>
          <w:tab w:val="left" w:pos="345"/>
        </w:tabs>
        <w:spacing w:before="22" w:after="0" w:line="261" w:lineRule="auto"/>
        <w:ind w:left="344" w:right="319" w:hanging="227"/>
        <w:jc w:val="left"/>
        <w:rPr>
          <w:sz w:val="21"/>
        </w:rPr>
      </w:pPr>
      <w:r>
        <w:rPr>
          <w:color w:val="231F20"/>
          <w:sz w:val="21"/>
        </w:rPr>
        <w:t>Abnormal computed tomography (CT) scans of the brain or a lumbar puncture showing that the cerebro- spinal fluid is bloody and under increased pressure (Smith et al., 2013; Suarez,</w:t>
      </w:r>
      <w:r>
        <w:rPr>
          <w:color w:val="231F20"/>
          <w:spacing w:val="-2"/>
          <w:sz w:val="21"/>
        </w:rPr>
        <w:t xml:space="preserve"> </w:t>
      </w:r>
      <w:r>
        <w:rPr>
          <w:color w:val="231F20"/>
          <w:sz w:val="21"/>
        </w:rPr>
        <w:t>2015)</w:t>
      </w:r>
    </w:p>
    <w:p>
      <w:pPr>
        <w:pStyle w:val="10"/>
        <w:numPr>
          <w:ilvl w:val="0"/>
          <w:numId w:val="1"/>
        </w:numPr>
        <w:tabs>
          <w:tab w:val="left" w:pos="345"/>
        </w:tabs>
        <w:spacing w:before="3" w:after="0" w:line="240" w:lineRule="auto"/>
        <w:ind w:left="344" w:right="0" w:hanging="228"/>
        <w:jc w:val="left"/>
        <w:rPr>
          <w:sz w:val="21"/>
        </w:rPr>
      </w:pPr>
      <w:r>
        <w:rPr>
          <w:color w:val="231F20"/>
          <w:sz w:val="21"/>
        </w:rPr>
        <w:t>First onset of</w:t>
      </w:r>
      <w:r>
        <w:rPr>
          <w:color w:val="231F20"/>
          <w:spacing w:val="-2"/>
          <w:sz w:val="21"/>
        </w:rPr>
        <w:t xml:space="preserve"> </w:t>
      </w:r>
      <w:r>
        <w:rPr>
          <w:color w:val="231F20"/>
          <w:sz w:val="21"/>
        </w:rPr>
        <w:t>symptoms</w:t>
      </w:r>
    </w:p>
    <w:p>
      <w:pPr>
        <w:pStyle w:val="10"/>
        <w:numPr>
          <w:ilvl w:val="0"/>
          <w:numId w:val="1"/>
        </w:numPr>
        <w:tabs>
          <w:tab w:val="left" w:pos="345"/>
        </w:tabs>
        <w:spacing w:before="23" w:after="0" w:line="261" w:lineRule="auto"/>
        <w:ind w:left="344" w:right="225" w:hanging="227"/>
        <w:jc w:val="left"/>
        <w:rPr>
          <w:sz w:val="21"/>
        </w:rPr>
      </w:pPr>
      <w:r>
        <w:rPr>
          <w:color w:val="231F20"/>
          <w:sz w:val="21"/>
        </w:rPr>
        <w:t>Time of atorvastatin administration is within 72</w:t>
      </w:r>
      <w:r>
        <w:rPr>
          <w:color w:val="231F20"/>
          <w:spacing w:val="-16"/>
          <w:sz w:val="21"/>
        </w:rPr>
        <w:t xml:space="preserve"> </w:t>
      </w:r>
      <w:r>
        <w:rPr>
          <w:color w:val="231F20"/>
          <w:sz w:val="21"/>
        </w:rPr>
        <w:t>hours after hemorrhage</w:t>
      </w:r>
    </w:p>
    <w:p>
      <w:pPr>
        <w:pStyle w:val="10"/>
        <w:numPr>
          <w:ilvl w:val="0"/>
          <w:numId w:val="1"/>
        </w:numPr>
        <w:tabs>
          <w:tab w:val="left" w:pos="345"/>
        </w:tabs>
        <w:spacing w:before="1" w:after="0" w:line="240" w:lineRule="auto"/>
        <w:ind w:left="344" w:right="0" w:hanging="228"/>
        <w:jc w:val="left"/>
        <w:rPr>
          <w:sz w:val="21"/>
        </w:rPr>
      </w:pPr>
      <w:r>
        <w:rPr>
          <w:color w:val="231F20"/>
          <w:sz w:val="21"/>
        </w:rPr>
        <w:t>Informed consent of patients or their family</w:t>
      </w:r>
      <w:r>
        <w:rPr>
          <w:color w:val="231F20"/>
          <w:spacing w:val="-1"/>
          <w:sz w:val="21"/>
        </w:rPr>
        <w:t xml:space="preserve"> </w:t>
      </w:r>
      <w:r>
        <w:rPr>
          <w:color w:val="231F20"/>
          <w:sz w:val="21"/>
        </w:rPr>
        <w:t>members</w:t>
      </w:r>
    </w:p>
    <w:p>
      <w:pPr>
        <w:pStyle w:val="5"/>
        <w:spacing w:before="7"/>
        <w:rPr>
          <w:sz w:val="24"/>
        </w:rPr>
      </w:pPr>
    </w:p>
    <w:p>
      <w:pPr>
        <w:pStyle w:val="4"/>
        <w:rPr>
          <w:i/>
        </w:rPr>
      </w:pPr>
      <w:r>
        <w:rPr>
          <w:i/>
          <w:color w:val="32327F"/>
        </w:rPr>
        <w:t>Exclusion criteria</w:t>
      </w:r>
    </w:p>
    <w:p>
      <w:pPr>
        <w:pStyle w:val="5"/>
        <w:spacing w:before="12" w:line="261" w:lineRule="auto"/>
        <w:ind w:left="117"/>
      </w:pPr>
      <w:r>
        <w:rPr>
          <w:color w:val="231F20"/>
        </w:rPr>
        <w:t>Patients presenting with one of the following criteria will be excluded from the trial:</w:t>
      </w:r>
    </w:p>
    <w:p>
      <w:pPr>
        <w:pStyle w:val="10"/>
        <w:numPr>
          <w:ilvl w:val="0"/>
          <w:numId w:val="1"/>
        </w:numPr>
        <w:tabs>
          <w:tab w:val="left" w:pos="345"/>
        </w:tabs>
        <w:spacing w:before="1" w:after="0" w:line="240" w:lineRule="auto"/>
        <w:ind w:left="344" w:right="0" w:hanging="228"/>
        <w:jc w:val="left"/>
        <w:rPr>
          <w:sz w:val="21"/>
        </w:rPr>
      </w:pPr>
      <w:r>
        <w:rPr>
          <w:color w:val="231F20"/>
          <w:sz w:val="21"/>
        </w:rPr>
        <w:t>Traumatic subarachnoid</w:t>
      </w:r>
      <w:r>
        <w:rPr>
          <w:color w:val="231F20"/>
          <w:spacing w:val="-3"/>
          <w:sz w:val="21"/>
        </w:rPr>
        <w:t xml:space="preserve"> </w:t>
      </w:r>
      <w:r>
        <w:rPr>
          <w:color w:val="231F20"/>
          <w:sz w:val="21"/>
        </w:rPr>
        <w:t>hemorrhage</w:t>
      </w:r>
    </w:p>
    <w:p>
      <w:pPr>
        <w:pStyle w:val="10"/>
        <w:numPr>
          <w:ilvl w:val="0"/>
          <w:numId w:val="1"/>
        </w:numPr>
        <w:tabs>
          <w:tab w:val="left" w:pos="345"/>
        </w:tabs>
        <w:spacing w:before="23" w:after="0" w:line="240" w:lineRule="auto"/>
        <w:ind w:left="344" w:right="0" w:hanging="228"/>
        <w:jc w:val="left"/>
        <w:rPr>
          <w:sz w:val="21"/>
        </w:rPr>
      </w:pPr>
      <w:r>
        <w:rPr>
          <w:color w:val="231F20"/>
          <w:sz w:val="21"/>
        </w:rPr>
        <w:t>Hyperlipidemia combined with diabetes</w:t>
      </w:r>
      <w:r>
        <w:rPr>
          <w:color w:val="231F20"/>
          <w:spacing w:val="-4"/>
          <w:sz w:val="21"/>
        </w:rPr>
        <w:t xml:space="preserve"> </w:t>
      </w:r>
      <w:r>
        <w:rPr>
          <w:color w:val="231F20"/>
          <w:sz w:val="21"/>
        </w:rPr>
        <w:t>mellitus</w:t>
      </w:r>
    </w:p>
    <w:p>
      <w:pPr>
        <w:pStyle w:val="10"/>
        <w:numPr>
          <w:ilvl w:val="0"/>
          <w:numId w:val="1"/>
        </w:numPr>
        <w:tabs>
          <w:tab w:val="left" w:pos="345"/>
        </w:tabs>
        <w:spacing w:before="22" w:after="0" w:line="240" w:lineRule="auto"/>
        <w:ind w:left="344" w:right="0" w:hanging="228"/>
        <w:jc w:val="left"/>
        <w:rPr>
          <w:sz w:val="21"/>
        </w:rPr>
      </w:pPr>
      <w:r>
        <w:rPr>
          <w:color w:val="231F20"/>
          <w:spacing w:val="-3"/>
          <w:sz w:val="21"/>
        </w:rPr>
        <w:t>Abnormal</w:t>
      </w:r>
      <w:r>
        <w:rPr>
          <w:color w:val="231F20"/>
          <w:spacing w:val="-17"/>
          <w:sz w:val="21"/>
        </w:rPr>
        <w:t xml:space="preserve"> </w:t>
      </w:r>
      <w:r>
        <w:rPr>
          <w:color w:val="231F20"/>
          <w:spacing w:val="-3"/>
          <w:sz w:val="21"/>
        </w:rPr>
        <w:t>liver</w:t>
      </w:r>
      <w:r>
        <w:rPr>
          <w:color w:val="231F20"/>
          <w:spacing w:val="-17"/>
          <w:sz w:val="21"/>
        </w:rPr>
        <w:t xml:space="preserve"> </w:t>
      </w:r>
      <w:r>
        <w:rPr>
          <w:color w:val="231F20"/>
          <w:spacing w:val="-3"/>
          <w:sz w:val="21"/>
        </w:rPr>
        <w:t>enzymes,</w:t>
      </w:r>
      <w:r>
        <w:rPr>
          <w:color w:val="231F20"/>
          <w:spacing w:val="-17"/>
          <w:sz w:val="21"/>
        </w:rPr>
        <w:t xml:space="preserve"> </w:t>
      </w:r>
      <w:r>
        <w:rPr>
          <w:color w:val="231F20"/>
          <w:spacing w:val="-5"/>
          <w:sz w:val="21"/>
        </w:rPr>
        <w:t>myopathy,</w:t>
      </w:r>
      <w:r>
        <w:rPr>
          <w:color w:val="231F20"/>
          <w:spacing w:val="-17"/>
          <w:sz w:val="21"/>
        </w:rPr>
        <w:t xml:space="preserve"> </w:t>
      </w:r>
      <w:r>
        <w:rPr>
          <w:color w:val="231F20"/>
          <w:sz w:val="21"/>
        </w:rPr>
        <w:t>and</w:t>
      </w:r>
      <w:r>
        <w:rPr>
          <w:color w:val="231F20"/>
          <w:spacing w:val="-17"/>
          <w:sz w:val="21"/>
        </w:rPr>
        <w:t xml:space="preserve"> </w:t>
      </w:r>
      <w:r>
        <w:rPr>
          <w:color w:val="231F20"/>
          <w:spacing w:val="-3"/>
          <w:sz w:val="21"/>
        </w:rPr>
        <w:t>rhabdomyolysis</w:t>
      </w:r>
    </w:p>
    <w:p>
      <w:pPr>
        <w:pStyle w:val="10"/>
        <w:numPr>
          <w:ilvl w:val="0"/>
          <w:numId w:val="1"/>
        </w:numPr>
        <w:tabs>
          <w:tab w:val="left" w:pos="345"/>
        </w:tabs>
        <w:spacing w:before="23" w:after="0" w:line="240" w:lineRule="auto"/>
        <w:ind w:left="344" w:right="0" w:hanging="228"/>
        <w:jc w:val="left"/>
        <w:rPr>
          <w:sz w:val="21"/>
        </w:rPr>
      </w:pPr>
      <w:r>
        <w:rPr>
          <w:color w:val="231F20"/>
          <w:sz w:val="21"/>
        </w:rPr>
        <w:t>History of mental illness or</w:t>
      </w:r>
      <w:r>
        <w:rPr>
          <w:color w:val="231F20"/>
          <w:spacing w:val="-3"/>
          <w:sz w:val="21"/>
        </w:rPr>
        <w:t xml:space="preserve"> </w:t>
      </w:r>
      <w:r>
        <w:rPr>
          <w:color w:val="231F20"/>
          <w:sz w:val="21"/>
        </w:rPr>
        <w:t>epilepsy</w:t>
      </w:r>
    </w:p>
    <w:p>
      <w:pPr>
        <w:pStyle w:val="10"/>
        <w:numPr>
          <w:ilvl w:val="0"/>
          <w:numId w:val="1"/>
        </w:numPr>
        <w:tabs>
          <w:tab w:val="left" w:pos="345"/>
        </w:tabs>
        <w:spacing w:before="22" w:after="0" w:line="261" w:lineRule="auto"/>
        <w:ind w:left="344" w:right="205" w:hanging="227"/>
        <w:jc w:val="left"/>
        <w:rPr>
          <w:sz w:val="21"/>
        </w:rPr>
      </w:pPr>
      <w:r>
        <w:rPr>
          <w:color w:val="231F20"/>
          <w:sz w:val="21"/>
        </w:rPr>
        <w:t>Serious heart and lung disease or multiple organ dys- function</w:t>
      </w:r>
    </w:p>
    <w:p>
      <w:pPr>
        <w:spacing w:after="0" w:line="261" w:lineRule="auto"/>
        <w:jc w:val="left"/>
        <w:rPr>
          <w:sz w:val="21"/>
        </w:rPr>
        <w:sectPr>
          <w:type w:val="continuous"/>
          <w:pgSz w:w="12240" w:h="15840"/>
          <w:pgMar w:top="480" w:right="960" w:bottom="280" w:left="960" w:header="720" w:footer="720" w:gutter="0"/>
          <w:cols w:equalWidth="0" w:num="2">
            <w:col w:w="5028" w:space="195"/>
            <w:col w:w="5097"/>
          </w:cols>
        </w:sectPr>
      </w:pPr>
    </w:p>
    <w:p>
      <w:pPr>
        <w:pStyle w:val="5"/>
        <w:spacing w:before="6"/>
        <w:rPr>
          <w:sz w:val="10"/>
        </w:rPr>
      </w:pPr>
    </w:p>
    <w:p>
      <w:pPr>
        <w:spacing w:after="0"/>
        <w:rPr>
          <w:sz w:val="10"/>
        </w:rPr>
        <w:sectPr>
          <w:footerReference r:id="rId7" w:type="default"/>
          <w:footerReference r:id="rId8" w:type="even"/>
          <w:pgSz w:w="12240" w:h="15840"/>
          <w:pgMar w:top="960" w:right="960" w:bottom="800" w:left="960" w:header="269" w:footer="602" w:gutter="0"/>
          <w:pgNumType w:start="64"/>
        </w:sectPr>
      </w:pPr>
    </w:p>
    <w:p>
      <w:pPr>
        <w:pStyle w:val="10"/>
        <w:numPr>
          <w:ilvl w:val="0"/>
          <w:numId w:val="1"/>
        </w:numPr>
        <w:tabs>
          <w:tab w:val="left" w:pos="345"/>
        </w:tabs>
        <w:spacing w:before="91" w:after="0" w:line="240" w:lineRule="auto"/>
        <w:ind w:left="344" w:right="0" w:hanging="228"/>
        <w:jc w:val="left"/>
        <w:rPr>
          <w:sz w:val="21"/>
        </w:rPr>
      </w:pPr>
      <w:r>
        <w:rPr>
          <w:color w:val="231F20"/>
          <w:sz w:val="21"/>
        </w:rPr>
        <w:t>Recent chemotherapy and</w:t>
      </w:r>
      <w:r>
        <w:rPr>
          <w:color w:val="231F20"/>
          <w:spacing w:val="-1"/>
          <w:sz w:val="21"/>
        </w:rPr>
        <w:t xml:space="preserve"> </w:t>
      </w:r>
      <w:r>
        <w:rPr>
          <w:color w:val="231F20"/>
          <w:sz w:val="21"/>
        </w:rPr>
        <w:t>radiotherapy</w:t>
      </w:r>
    </w:p>
    <w:p>
      <w:pPr>
        <w:pStyle w:val="10"/>
        <w:numPr>
          <w:ilvl w:val="0"/>
          <w:numId w:val="1"/>
        </w:numPr>
        <w:tabs>
          <w:tab w:val="left" w:pos="345"/>
        </w:tabs>
        <w:spacing w:before="23" w:after="0" w:line="240" w:lineRule="auto"/>
        <w:ind w:left="344" w:right="0" w:hanging="228"/>
        <w:jc w:val="left"/>
        <w:rPr>
          <w:sz w:val="21"/>
        </w:rPr>
      </w:pPr>
      <w:r>
        <w:rPr>
          <w:color w:val="231F20"/>
          <w:sz w:val="21"/>
        </w:rPr>
        <w:t>Currently participating in other clinical</w:t>
      </w:r>
      <w:r>
        <w:rPr>
          <w:color w:val="231F20"/>
          <w:spacing w:val="-1"/>
          <w:sz w:val="21"/>
        </w:rPr>
        <w:t xml:space="preserve"> </w:t>
      </w:r>
      <w:r>
        <w:rPr>
          <w:color w:val="231F20"/>
          <w:sz w:val="21"/>
        </w:rPr>
        <w:t>trials</w:t>
      </w:r>
    </w:p>
    <w:p>
      <w:pPr>
        <w:pStyle w:val="5"/>
        <w:spacing w:before="6"/>
        <w:rPr>
          <w:sz w:val="24"/>
        </w:rPr>
      </w:pPr>
    </w:p>
    <w:p>
      <w:pPr>
        <w:pStyle w:val="3"/>
      </w:pPr>
      <w:r>
        <w:rPr>
          <w:color w:val="32327F"/>
        </w:rPr>
        <w:t>Randomization</w:t>
      </w:r>
    </w:p>
    <w:p>
      <w:pPr>
        <w:pStyle w:val="5"/>
        <w:spacing w:before="12" w:line="259" w:lineRule="auto"/>
        <w:ind w:left="117" w:right="38"/>
        <w:jc w:val="both"/>
      </w:pPr>
      <w:r>
        <w:rPr>
          <w:color w:val="231F20"/>
        </w:rPr>
        <w:t>The 300 participants will be numbered according to their time</w:t>
      </w:r>
      <w:r>
        <w:rPr>
          <w:color w:val="231F20"/>
          <w:spacing w:val="-6"/>
        </w:rPr>
        <w:t xml:space="preserve"> </w:t>
      </w:r>
      <w:r>
        <w:rPr>
          <w:color w:val="231F20"/>
        </w:rPr>
        <w:t>of</w:t>
      </w:r>
      <w:r>
        <w:rPr>
          <w:color w:val="231F20"/>
          <w:spacing w:val="-5"/>
        </w:rPr>
        <w:t xml:space="preserve"> </w:t>
      </w:r>
      <w:r>
        <w:rPr>
          <w:color w:val="231F20"/>
        </w:rPr>
        <w:t>admission</w:t>
      </w:r>
      <w:r>
        <w:rPr>
          <w:color w:val="231F20"/>
          <w:spacing w:val="-5"/>
        </w:rPr>
        <w:t xml:space="preserve"> </w:t>
      </w:r>
      <w:r>
        <w:rPr>
          <w:color w:val="231F20"/>
        </w:rPr>
        <w:t>by</w:t>
      </w:r>
      <w:r>
        <w:rPr>
          <w:color w:val="231F20"/>
          <w:spacing w:val="-5"/>
        </w:rPr>
        <w:t xml:space="preserve"> </w:t>
      </w:r>
      <w:r>
        <w:rPr>
          <w:color w:val="231F20"/>
        </w:rPr>
        <w:t>a</w:t>
      </w:r>
      <w:r>
        <w:rPr>
          <w:color w:val="231F20"/>
          <w:spacing w:val="-5"/>
        </w:rPr>
        <w:t xml:space="preserve"> </w:t>
      </w:r>
      <w:r>
        <w:rPr>
          <w:color w:val="231F20"/>
        </w:rPr>
        <w:t>statistician</w:t>
      </w:r>
      <w:r>
        <w:rPr>
          <w:color w:val="231F20"/>
          <w:spacing w:val="-5"/>
        </w:rPr>
        <w:t xml:space="preserve"> </w:t>
      </w:r>
      <w:r>
        <w:rPr>
          <w:color w:val="231F20"/>
        </w:rPr>
        <w:t>using</w:t>
      </w:r>
      <w:r>
        <w:rPr>
          <w:color w:val="231F20"/>
          <w:spacing w:val="-5"/>
        </w:rPr>
        <w:t xml:space="preserve"> </w:t>
      </w:r>
      <w:r>
        <w:rPr>
          <w:color w:val="231F20"/>
        </w:rPr>
        <w:t>a</w:t>
      </w:r>
      <w:r>
        <w:rPr>
          <w:color w:val="231F20"/>
          <w:spacing w:val="-5"/>
        </w:rPr>
        <w:t xml:space="preserve"> </w:t>
      </w:r>
      <w:r>
        <w:rPr>
          <w:color w:val="231F20"/>
        </w:rPr>
        <w:t>table</w:t>
      </w:r>
      <w:r>
        <w:rPr>
          <w:color w:val="231F20"/>
          <w:spacing w:val="-5"/>
        </w:rPr>
        <w:t xml:space="preserve"> </w:t>
      </w:r>
      <w:r>
        <w:rPr>
          <w:color w:val="231F20"/>
        </w:rPr>
        <w:t>of</w:t>
      </w:r>
      <w:r>
        <w:rPr>
          <w:color w:val="231F20"/>
          <w:spacing w:val="-5"/>
        </w:rPr>
        <w:t xml:space="preserve"> </w:t>
      </w:r>
      <w:r>
        <w:rPr>
          <w:color w:val="231F20"/>
        </w:rPr>
        <w:t>random numbers.</w:t>
      </w:r>
      <w:r>
        <w:rPr>
          <w:color w:val="231F20"/>
          <w:spacing w:val="-24"/>
        </w:rPr>
        <w:t xml:space="preserve"> </w:t>
      </w:r>
      <w:r>
        <w:rPr>
          <w:color w:val="231F20"/>
        </w:rPr>
        <w:t>The</w:t>
      </w:r>
      <w:r>
        <w:rPr>
          <w:color w:val="231F20"/>
          <w:spacing w:val="-20"/>
        </w:rPr>
        <w:t xml:space="preserve"> </w:t>
      </w:r>
      <w:r>
        <w:rPr>
          <w:color w:val="231F20"/>
        </w:rPr>
        <w:t>participants</w:t>
      </w:r>
      <w:r>
        <w:rPr>
          <w:color w:val="231F20"/>
          <w:spacing w:val="-21"/>
        </w:rPr>
        <w:t xml:space="preserve"> </w:t>
      </w:r>
      <w:r>
        <w:rPr>
          <w:color w:val="231F20"/>
        </w:rPr>
        <w:t>will</w:t>
      </w:r>
      <w:r>
        <w:rPr>
          <w:color w:val="231F20"/>
          <w:spacing w:val="-20"/>
        </w:rPr>
        <w:t xml:space="preserve"> </w:t>
      </w:r>
      <w:r>
        <w:rPr>
          <w:color w:val="231F20"/>
        </w:rPr>
        <w:t>be</w:t>
      </w:r>
      <w:r>
        <w:rPr>
          <w:color w:val="231F20"/>
          <w:spacing w:val="-20"/>
        </w:rPr>
        <w:t xml:space="preserve"> </w:t>
      </w:r>
      <w:r>
        <w:rPr>
          <w:color w:val="231F20"/>
        </w:rPr>
        <w:t>equally</w:t>
      </w:r>
      <w:r>
        <w:rPr>
          <w:color w:val="231F20"/>
          <w:spacing w:val="-20"/>
        </w:rPr>
        <w:t xml:space="preserve"> </w:t>
      </w:r>
      <w:r>
        <w:rPr>
          <w:color w:val="231F20"/>
        </w:rPr>
        <w:t>assigned</w:t>
      </w:r>
      <w:r>
        <w:rPr>
          <w:color w:val="231F20"/>
          <w:spacing w:val="-21"/>
        </w:rPr>
        <w:t xml:space="preserve"> </w:t>
      </w:r>
      <w:r>
        <w:rPr>
          <w:color w:val="231F20"/>
        </w:rPr>
        <w:t>to</w:t>
      </w:r>
      <w:r>
        <w:rPr>
          <w:color w:val="231F20"/>
          <w:spacing w:val="-20"/>
        </w:rPr>
        <w:t xml:space="preserve"> </w:t>
      </w:r>
      <w:r>
        <w:rPr>
          <w:color w:val="231F20"/>
        </w:rPr>
        <w:t>either the</w:t>
      </w:r>
      <w:r>
        <w:rPr>
          <w:color w:val="231F20"/>
          <w:spacing w:val="-10"/>
        </w:rPr>
        <w:t xml:space="preserve"> </w:t>
      </w:r>
      <w:r>
        <w:rPr>
          <w:color w:val="231F20"/>
        </w:rPr>
        <w:t>atorvastatin</w:t>
      </w:r>
      <w:r>
        <w:rPr>
          <w:color w:val="231F20"/>
          <w:spacing w:val="-9"/>
        </w:rPr>
        <w:t xml:space="preserve"> </w:t>
      </w:r>
      <w:r>
        <w:rPr>
          <w:color w:val="231F20"/>
        </w:rPr>
        <w:t>group</w:t>
      </w:r>
      <w:r>
        <w:rPr>
          <w:color w:val="231F20"/>
          <w:spacing w:val="-9"/>
        </w:rPr>
        <w:t xml:space="preserve"> </w:t>
      </w:r>
      <w:r>
        <w:rPr>
          <w:color w:val="231F20"/>
        </w:rPr>
        <w:t>or</w:t>
      </w:r>
      <w:r>
        <w:rPr>
          <w:color w:val="231F20"/>
          <w:spacing w:val="-9"/>
        </w:rPr>
        <w:t xml:space="preserve"> </w:t>
      </w:r>
      <w:r>
        <w:rPr>
          <w:color w:val="231F20"/>
        </w:rPr>
        <w:t>a</w:t>
      </w:r>
      <w:r>
        <w:rPr>
          <w:color w:val="231F20"/>
          <w:spacing w:val="-9"/>
        </w:rPr>
        <w:t xml:space="preserve"> </w:t>
      </w:r>
      <w:r>
        <w:rPr>
          <w:color w:val="231F20"/>
        </w:rPr>
        <w:t>placebo</w:t>
      </w:r>
      <w:r>
        <w:rPr>
          <w:color w:val="231F20"/>
          <w:spacing w:val="-9"/>
        </w:rPr>
        <w:t xml:space="preserve"> </w:t>
      </w:r>
      <w:r>
        <w:rPr>
          <w:color w:val="231F20"/>
        </w:rPr>
        <w:t>control</w:t>
      </w:r>
      <w:r>
        <w:rPr>
          <w:color w:val="231F20"/>
          <w:spacing w:val="-9"/>
        </w:rPr>
        <w:t xml:space="preserve"> </w:t>
      </w:r>
      <w:r>
        <w:rPr>
          <w:color w:val="231F20"/>
        </w:rPr>
        <w:t>group.</w:t>
      </w:r>
      <w:r>
        <w:rPr>
          <w:color w:val="231F20"/>
          <w:spacing w:val="-9"/>
        </w:rPr>
        <w:t xml:space="preserve"> </w:t>
      </w:r>
      <w:r>
        <w:rPr>
          <w:color w:val="231F20"/>
        </w:rPr>
        <w:t>Doctors, patients, and assessors will be blinded regarding patient group assignments to avoid measurement bias.</w:t>
      </w:r>
    </w:p>
    <w:p>
      <w:pPr>
        <w:pStyle w:val="5"/>
        <w:spacing w:before="6"/>
        <w:rPr>
          <w:sz w:val="22"/>
        </w:rPr>
      </w:pPr>
    </w:p>
    <w:p>
      <w:pPr>
        <w:pStyle w:val="3"/>
      </w:pPr>
      <w:r>
        <w:rPr>
          <w:color w:val="32327F"/>
        </w:rPr>
        <w:t>Blinding and emergency unblinding</w:t>
      </w:r>
    </w:p>
    <w:p>
      <w:pPr>
        <w:pStyle w:val="5"/>
        <w:spacing w:before="8" w:line="259" w:lineRule="auto"/>
        <w:ind w:left="117" w:right="38"/>
        <w:jc w:val="both"/>
      </w:pPr>
      <w:r>
        <w:rPr>
          <w:color w:val="231F20"/>
        </w:rPr>
        <w:t>The treatment program for each participant will be gener- ated using a random allocation sequence and placed in ordered,</w:t>
      </w:r>
      <w:r>
        <w:rPr>
          <w:color w:val="231F20"/>
          <w:spacing w:val="-7"/>
        </w:rPr>
        <w:t xml:space="preserve"> </w:t>
      </w:r>
      <w:r>
        <w:rPr>
          <w:color w:val="231F20"/>
        </w:rPr>
        <w:t>sealed,</w:t>
      </w:r>
      <w:r>
        <w:rPr>
          <w:color w:val="231F20"/>
          <w:spacing w:val="-6"/>
        </w:rPr>
        <w:t xml:space="preserve"> </w:t>
      </w:r>
      <w:r>
        <w:rPr>
          <w:color w:val="231F20"/>
        </w:rPr>
        <w:t>opaque</w:t>
      </w:r>
      <w:r>
        <w:rPr>
          <w:color w:val="231F20"/>
          <w:spacing w:val="-7"/>
        </w:rPr>
        <w:t xml:space="preserve"> </w:t>
      </w:r>
      <w:r>
        <w:rPr>
          <w:color w:val="231F20"/>
        </w:rPr>
        <w:t>envelopes.</w:t>
      </w:r>
      <w:r>
        <w:rPr>
          <w:color w:val="231F20"/>
          <w:spacing w:val="-10"/>
        </w:rPr>
        <w:t xml:space="preserve"> </w:t>
      </w:r>
      <w:r>
        <w:rPr>
          <w:color w:val="231F20"/>
        </w:rPr>
        <w:t>The</w:t>
      </w:r>
      <w:r>
        <w:rPr>
          <w:color w:val="231F20"/>
          <w:spacing w:val="-6"/>
        </w:rPr>
        <w:t xml:space="preserve"> </w:t>
      </w:r>
      <w:r>
        <w:rPr>
          <w:color w:val="231F20"/>
        </w:rPr>
        <w:t>blinded</w:t>
      </w:r>
      <w:r>
        <w:rPr>
          <w:color w:val="231F20"/>
          <w:spacing w:val="-7"/>
        </w:rPr>
        <w:t xml:space="preserve"> </w:t>
      </w:r>
      <w:r>
        <w:rPr>
          <w:color w:val="231F20"/>
        </w:rPr>
        <w:t>codes</w:t>
      </w:r>
      <w:r>
        <w:rPr>
          <w:color w:val="231F20"/>
          <w:spacing w:val="-6"/>
        </w:rPr>
        <w:t xml:space="preserve"> </w:t>
      </w:r>
      <w:r>
        <w:rPr>
          <w:color w:val="231F20"/>
        </w:rPr>
        <w:t xml:space="preserve">will be preserved by the drug administrator. If a patient has </w:t>
      </w:r>
      <w:r>
        <w:rPr>
          <w:color w:val="231F20"/>
          <w:spacing w:val="-13"/>
        </w:rPr>
        <w:t xml:space="preserve">a </w:t>
      </w:r>
      <w:r>
        <w:rPr>
          <w:color w:val="231F20"/>
        </w:rPr>
        <w:t xml:space="preserve">serious adverse event and it is necessary to immediately determine the drug administered, a principal </w:t>
      </w:r>
      <w:r>
        <w:rPr>
          <w:color w:val="231F20"/>
          <w:spacing w:val="-2"/>
        </w:rPr>
        <w:t xml:space="preserve">investigator </w:t>
      </w:r>
      <w:r>
        <w:rPr>
          <w:color w:val="231F20"/>
        </w:rPr>
        <w:t>of</w:t>
      </w:r>
      <w:r>
        <w:rPr>
          <w:color w:val="231F20"/>
          <w:spacing w:val="-12"/>
        </w:rPr>
        <w:t xml:space="preserve"> </w:t>
      </w:r>
      <w:r>
        <w:rPr>
          <w:color w:val="231F20"/>
        </w:rPr>
        <w:t>the</w:t>
      </w:r>
      <w:r>
        <w:rPr>
          <w:color w:val="231F20"/>
          <w:spacing w:val="-13"/>
        </w:rPr>
        <w:t xml:space="preserve"> </w:t>
      </w:r>
      <w:r>
        <w:rPr>
          <w:color w:val="231F20"/>
        </w:rPr>
        <w:t>research</w:t>
      </w:r>
      <w:r>
        <w:rPr>
          <w:color w:val="231F20"/>
          <w:spacing w:val="-12"/>
        </w:rPr>
        <w:t xml:space="preserve"> </w:t>
      </w:r>
      <w:r>
        <w:rPr>
          <w:color w:val="231F20"/>
        </w:rPr>
        <w:t>unit</w:t>
      </w:r>
      <w:r>
        <w:rPr>
          <w:color w:val="231F20"/>
          <w:spacing w:val="-12"/>
        </w:rPr>
        <w:t xml:space="preserve"> </w:t>
      </w:r>
      <w:r>
        <w:rPr>
          <w:color w:val="231F20"/>
        </w:rPr>
        <w:t>will</w:t>
      </w:r>
      <w:r>
        <w:rPr>
          <w:color w:val="231F20"/>
          <w:spacing w:val="-12"/>
        </w:rPr>
        <w:t xml:space="preserve"> </w:t>
      </w:r>
      <w:r>
        <w:rPr>
          <w:color w:val="231F20"/>
        </w:rPr>
        <w:t>open</w:t>
      </w:r>
      <w:r>
        <w:rPr>
          <w:color w:val="231F20"/>
          <w:spacing w:val="-12"/>
        </w:rPr>
        <w:t xml:space="preserve"> </w:t>
      </w:r>
      <w:r>
        <w:rPr>
          <w:color w:val="231F20"/>
        </w:rPr>
        <w:t>that</w:t>
      </w:r>
      <w:r>
        <w:rPr>
          <w:color w:val="231F20"/>
          <w:spacing w:val="-12"/>
        </w:rPr>
        <w:t xml:space="preserve"> </w:t>
      </w:r>
      <w:r>
        <w:rPr>
          <w:color w:val="231F20"/>
        </w:rPr>
        <w:t>patient’s</w:t>
      </w:r>
      <w:r>
        <w:rPr>
          <w:color w:val="231F20"/>
          <w:spacing w:val="-12"/>
        </w:rPr>
        <w:t xml:space="preserve"> </w:t>
      </w:r>
      <w:r>
        <w:rPr>
          <w:color w:val="231F20"/>
        </w:rPr>
        <w:t>envelope.</w:t>
      </w:r>
      <w:r>
        <w:rPr>
          <w:color w:val="231F20"/>
          <w:spacing w:val="-12"/>
        </w:rPr>
        <w:t xml:space="preserve"> </w:t>
      </w:r>
      <w:r>
        <w:rPr>
          <w:color w:val="231F20"/>
        </w:rPr>
        <w:t>Once</w:t>
      </w:r>
    </w:p>
    <w:p>
      <w:pPr>
        <w:pStyle w:val="5"/>
        <w:spacing w:before="91" w:line="259" w:lineRule="auto"/>
        <w:ind w:left="117" w:right="115"/>
        <w:jc w:val="both"/>
      </w:pPr>
      <w:r>
        <w:br w:type="column"/>
      </w:r>
      <w:r>
        <w:rPr>
          <w:color w:val="231F20"/>
        </w:rPr>
        <w:t>the</w:t>
      </w:r>
      <w:r>
        <w:rPr>
          <w:color w:val="231F20"/>
          <w:spacing w:val="-26"/>
        </w:rPr>
        <w:t xml:space="preserve"> </w:t>
      </w:r>
      <w:r>
        <w:rPr>
          <w:color w:val="231F20"/>
        </w:rPr>
        <w:t>data</w:t>
      </w:r>
      <w:r>
        <w:rPr>
          <w:color w:val="231F20"/>
          <w:spacing w:val="-25"/>
        </w:rPr>
        <w:t xml:space="preserve"> </w:t>
      </w:r>
      <w:r>
        <w:rPr>
          <w:color w:val="231F20"/>
        </w:rPr>
        <w:t>are</w:t>
      </w:r>
      <w:r>
        <w:rPr>
          <w:color w:val="231F20"/>
          <w:spacing w:val="-26"/>
        </w:rPr>
        <w:t xml:space="preserve"> </w:t>
      </w:r>
      <w:r>
        <w:rPr>
          <w:color w:val="231F20"/>
        </w:rPr>
        <w:t>unmasked,</w:t>
      </w:r>
      <w:r>
        <w:rPr>
          <w:color w:val="231F20"/>
          <w:spacing w:val="-25"/>
        </w:rPr>
        <w:t xml:space="preserve"> </w:t>
      </w:r>
      <w:r>
        <w:rPr>
          <w:color w:val="231F20"/>
        </w:rPr>
        <w:t>the</w:t>
      </w:r>
      <w:r>
        <w:rPr>
          <w:color w:val="231F20"/>
          <w:spacing w:val="-25"/>
        </w:rPr>
        <w:t xml:space="preserve"> </w:t>
      </w:r>
      <w:r>
        <w:rPr>
          <w:color w:val="231F20"/>
        </w:rPr>
        <w:t>patient</w:t>
      </w:r>
      <w:r>
        <w:rPr>
          <w:color w:val="231F20"/>
          <w:spacing w:val="-26"/>
        </w:rPr>
        <w:t xml:space="preserve"> </w:t>
      </w:r>
      <w:r>
        <w:rPr>
          <w:color w:val="231F20"/>
        </w:rPr>
        <w:t>will</w:t>
      </w:r>
      <w:r>
        <w:rPr>
          <w:color w:val="231F20"/>
          <w:spacing w:val="-25"/>
        </w:rPr>
        <w:t xml:space="preserve"> </w:t>
      </w:r>
      <w:r>
        <w:rPr>
          <w:color w:val="231F20"/>
        </w:rPr>
        <w:t>be</w:t>
      </w:r>
      <w:r>
        <w:rPr>
          <w:color w:val="231F20"/>
          <w:spacing w:val="-26"/>
        </w:rPr>
        <w:t xml:space="preserve"> </w:t>
      </w:r>
      <w:r>
        <w:rPr>
          <w:color w:val="231F20"/>
        </w:rPr>
        <w:t>discontinued</w:t>
      </w:r>
      <w:r>
        <w:rPr>
          <w:color w:val="231F20"/>
          <w:spacing w:val="-25"/>
        </w:rPr>
        <w:t xml:space="preserve"> </w:t>
      </w:r>
      <w:r>
        <w:rPr>
          <w:color w:val="231F20"/>
        </w:rPr>
        <w:t>from the</w:t>
      </w:r>
      <w:r>
        <w:rPr>
          <w:color w:val="231F20"/>
          <w:spacing w:val="-19"/>
        </w:rPr>
        <w:t xml:space="preserve"> </w:t>
      </w:r>
      <w:r>
        <w:rPr>
          <w:color w:val="231F20"/>
        </w:rPr>
        <w:t>trial.</w:t>
      </w:r>
      <w:r>
        <w:rPr>
          <w:color w:val="231F20"/>
          <w:spacing w:val="-22"/>
        </w:rPr>
        <w:t xml:space="preserve"> </w:t>
      </w:r>
      <w:r>
        <w:rPr>
          <w:color w:val="231F20"/>
        </w:rPr>
        <w:t>The</w:t>
      </w:r>
      <w:r>
        <w:rPr>
          <w:color w:val="231F20"/>
          <w:spacing w:val="-18"/>
        </w:rPr>
        <w:t xml:space="preserve"> </w:t>
      </w:r>
      <w:r>
        <w:rPr>
          <w:color w:val="231F20"/>
        </w:rPr>
        <w:t>clinical</w:t>
      </w:r>
      <w:r>
        <w:rPr>
          <w:color w:val="231F20"/>
          <w:spacing w:val="-18"/>
        </w:rPr>
        <w:t xml:space="preserve"> </w:t>
      </w:r>
      <w:r>
        <w:rPr>
          <w:color w:val="231F20"/>
        </w:rPr>
        <w:t>research</w:t>
      </w:r>
      <w:r>
        <w:rPr>
          <w:color w:val="231F20"/>
          <w:spacing w:val="-19"/>
        </w:rPr>
        <w:t xml:space="preserve"> </w:t>
      </w:r>
      <w:r>
        <w:rPr>
          <w:color w:val="231F20"/>
        </w:rPr>
        <w:t>associate</w:t>
      </w:r>
      <w:r>
        <w:rPr>
          <w:color w:val="231F20"/>
          <w:spacing w:val="-18"/>
        </w:rPr>
        <w:t xml:space="preserve"> </w:t>
      </w:r>
      <w:r>
        <w:rPr>
          <w:color w:val="231F20"/>
        </w:rPr>
        <w:t>will</w:t>
      </w:r>
      <w:r>
        <w:rPr>
          <w:color w:val="231F20"/>
          <w:spacing w:val="-18"/>
        </w:rPr>
        <w:t xml:space="preserve"> </w:t>
      </w:r>
      <w:r>
        <w:rPr>
          <w:color w:val="231F20"/>
        </w:rPr>
        <w:t>be</w:t>
      </w:r>
      <w:r>
        <w:rPr>
          <w:color w:val="231F20"/>
          <w:spacing w:val="-19"/>
        </w:rPr>
        <w:t xml:space="preserve"> </w:t>
      </w:r>
      <w:r>
        <w:rPr>
          <w:color w:val="231F20"/>
        </w:rPr>
        <w:t>informed</w:t>
      </w:r>
      <w:r>
        <w:rPr>
          <w:color w:val="231F20"/>
          <w:spacing w:val="-18"/>
        </w:rPr>
        <w:t xml:space="preserve"> </w:t>
      </w:r>
      <w:r>
        <w:rPr>
          <w:color w:val="231F20"/>
        </w:rPr>
        <w:t>of the result. Researchers will record the reason and date of the unmasking and sign the case report</w:t>
      </w:r>
      <w:r>
        <w:rPr>
          <w:color w:val="231F20"/>
          <w:spacing w:val="-2"/>
        </w:rPr>
        <w:t xml:space="preserve"> </w:t>
      </w:r>
      <w:r>
        <w:rPr>
          <w:color w:val="231F20"/>
        </w:rPr>
        <w:t>form.</w:t>
      </w:r>
    </w:p>
    <w:p>
      <w:pPr>
        <w:pStyle w:val="5"/>
        <w:rPr>
          <w:sz w:val="22"/>
        </w:rPr>
      </w:pPr>
    </w:p>
    <w:p>
      <w:pPr>
        <w:pStyle w:val="3"/>
      </w:pPr>
      <w:r>
        <w:rPr>
          <w:color w:val="32327F"/>
        </w:rPr>
        <w:t>Interventions</w:t>
      </w:r>
    </w:p>
    <w:p>
      <w:pPr>
        <w:pStyle w:val="5"/>
        <w:spacing w:before="8" w:line="259" w:lineRule="auto"/>
        <w:ind w:left="117" w:right="115"/>
        <w:jc w:val="both"/>
      </w:pPr>
      <w:r>
        <w:rPr>
          <w:color w:val="231F20"/>
        </w:rPr>
        <w:t>Patients in both groups will receive conventional treat- ments, such as sedation, absolute bed rest, fluid balance, and hemostasis.</w:t>
      </w:r>
    </w:p>
    <w:p>
      <w:pPr>
        <w:pStyle w:val="5"/>
        <w:spacing w:line="259" w:lineRule="auto"/>
        <w:ind w:left="117" w:right="112" w:firstLine="170"/>
        <w:jc w:val="both"/>
      </w:pPr>
      <w:r>
        <w:rPr>
          <w:color w:val="231F20"/>
        </w:rPr>
        <w:t>Atorvastatin</w:t>
      </w:r>
      <w:r>
        <w:rPr>
          <w:color w:val="231F20"/>
          <w:spacing w:val="-11"/>
        </w:rPr>
        <w:t xml:space="preserve"> </w:t>
      </w:r>
      <w:r>
        <w:rPr>
          <w:color w:val="231F20"/>
        </w:rPr>
        <w:t>group:</w:t>
      </w:r>
      <w:r>
        <w:rPr>
          <w:color w:val="231F20"/>
          <w:spacing w:val="-11"/>
        </w:rPr>
        <w:t xml:space="preserve"> </w:t>
      </w:r>
      <w:r>
        <w:rPr>
          <w:color w:val="231F20"/>
        </w:rPr>
        <w:t>in</w:t>
      </w:r>
      <w:r>
        <w:rPr>
          <w:color w:val="231F20"/>
          <w:spacing w:val="-10"/>
        </w:rPr>
        <w:t xml:space="preserve"> </w:t>
      </w:r>
      <w:r>
        <w:rPr>
          <w:color w:val="231F20"/>
        </w:rPr>
        <w:t>addition</w:t>
      </w:r>
      <w:r>
        <w:rPr>
          <w:color w:val="231F20"/>
          <w:spacing w:val="-11"/>
        </w:rPr>
        <w:t xml:space="preserve"> </w:t>
      </w:r>
      <w:r>
        <w:rPr>
          <w:color w:val="231F20"/>
        </w:rPr>
        <w:t>to</w:t>
      </w:r>
      <w:r>
        <w:rPr>
          <w:color w:val="231F20"/>
          <w:spacing w:val="-11"/>
        </w:rPr>
        <w:t xml:space="preserve"> </w:t>
      </w:r>
      <w:r>
        <w:rPr>
          <w:color w:val="231F20"/>
        </w:rPr>
        <w:t>the</w:t>
      </w:r>
      <w:r>
        <w:rPr>
          <w:color w:val="231F20"/>
          <w:spacing w:val="-10"/>
        </w:rPr>
        <w:t xml:space="preserve"> </w:t>
      </w:r>
      <w:r>
        <w:rPr>
          <w:color w:val="231F20"/>
        </w:rPr>
        <w:t>conventional</w:t>
      </w:r>
      <w:r>
        <w:rPr>
          <w:color w:val="231F20"/>
          <w:spacing w:val="-11"/>
        </w:rPr>
        <w:t xml:space="preserve"> </w:t>
      </w:r>
      <w:r>
        <w:rPr>
          <w:color w:val="231F20"/>
        </w:rPr>
        <w:t>treat- ments, patients will be orally administered atorvastatin (trade</w:t>
      </w:r>
      <w:r>
        <w:rPr>
          <w:color w:val="231F20"/>
          <w:spacing w:val="-30"/>
        </w:rPr>
        <w:t xml:space="preserve"> </w:t>
      </w:r>
      <w:r>
        <w:rPr>
          <w:color w:val="231F20"/>
        </w:rPr>
        <w:t>name:</w:t>
      </w:r>
      <w:r>
        <w:rPr>
          <w:color w:val="231F20"/>
          <w:spacing w:val="-29"/>
        </w:rPr>
        <w:t xml:space="preserve"> </w:t>
      </w:r>
      <w:r>
        <w:rPr>
          <w:color w:val="231F20"/>
        </w:rPr>
        <w:t>Lipitor;</w:t>
      </w:r>
      <w:r>
        <w:rPr>
          <w:color w:val="231F20"/>
          <w:spacing w:val="-30"/>
        </w:rPr>
        <w:t xml:space="preserve"> </w:t>
      </w:r>
      <w:r>
        <w:rPr>
          <w:color w:val="231F20"/>
        </w:rPr>
        <w:t>approval</w:t>
      </w:r>
      <w:r>
        <w:rPr>
          <w:color w:val="231F20"/>
          <w:spacing w:val="-29"/>
        </w:rPr>
        <w:t xml:space="preserve"> </w:t>
      </w:r>
      <w:r>
        <w:rPr>
          <w:color w:val="231F20"/>
        </w:rPr>
        <w:t>No.</w:t>
      </w:r>
      <w:r>
        <w:rPr>
          <w:color w:val="231F20"/>
          <w:spacing w:val="-29"/>
        </w:rPr>
        <w:t xml:space="preserve"> </w:t>
      </w:r>
      <w:r>
        <w:rPr>
          <w:color w:val="231F20"/>
        </w:rPr>
        <w:t>GYZZ</w:t>
      </w:r>
      <w:r>
        <w:rPr>
          <w:color w:val="231F20"/>
          <w:spacing w:val="-30"/>
        </w:rPr>
        <w:t xml:space="preserve"> </w:t>
      </w:r>
      <w:r>
        <w:rPr>
          <w:color w:val="231F20"/>
        </w:rPr>
        <w:t>H2005140;</w:t>
      </w:r>
      <w:r>
        <w:rPr>
          <w:color w:val="231F20"/>
          <w:spacing w:val="-29"/>
        </w:rPr>
        <w:t xml:space="preserve"> </w:t>
      </w:r>
      <w:r>
        <w:rPr>
          <w:color w:val="231F20"/>
        </w:rPr>
        <w:t>Pfizer Dalian</w:t>
      </w:r>
      <w:r>
        <w:rPr>
          <w:color w:val="231F20"/>
          <w:spacing w:val="-6"/>
        </w:rPr>
        <w:t xml:space="preserve"> </w:t>
      </w:r>
      <w:r>
        <w:rPr>
          <w:color w:val="231F20"/>
        </w:rPr>
        <w:t>Pharmaceutical</w:t>
      </w:r>
      <w:r>
        <w:rPr>
          <w:color w:val="231F20"/>
          <w:spacing w:val="-7"/>
        </w:rPr>
        <w:t xml:space="preserve"> </w:t>
      </w:r>
      <w:r>
        <w:rPr>
          <w:color w:val="231F20"/>
        </w:rPr>
        <w:t>Plant,</w:t>
      </w:r>
      <w:r>
        <w:rPr>
          <w:color w:val="231F20"/>
          <w:spacing w:val="-6"/>
        </w:rPr>
        <w:t xml:space="preserve"> </w:t>
      </w:r>
      <w:r>
        <w:rPr>
          <w:color w:val="231F20"/>
        </w:rPr>
        <w:t>Dalian,</w:t>
      </w:r>
      <w:r>
        <w:rPr>
          <w:color w:val="231F20"/>
          <w:spacing w:val="-5"/>
        </w:rPr>
        <w:t xml:space="preserve"> </w:t>
      </w:r>
      <w:r>
        <w:rPr>
          <w:color w:val="231F20"/>
        </w:rPr>
        <w:t>China),</w:t>
      </w:r>
      <w:r>
        <w:rPr>
          <w:color w:val="231F20"/>
          <w:spacing w:val="-6"/>
        </w:rPr>
        <w:t xml:space="preserve"> </w:t>
      </w:r>
      <w:r>
        <w:rPr>
          <w:color w:val="231F20"/>
        </w:rPr>
        <w:t>20</w:t>
      </w:r>
      <w:r>
        <w:rPr>
          <w:color w:val="231F20"/>
          <w:spacing w:val="-6"/>
        </w:rPr>
        <w:t xml:space="preserve"> </w:t>
      </w:r>
      <w:r>
        <w:rPr>
          <w:color w:val="231F20"/>
        </w:rPr>
        <w:t>mg</w:t>
      </w:r>
      <w:r>
        <w:rPr>
          <w:rFonts w:hint="eastAsia" w:eastAsia="宋体"/>
          <w:color w:val="231F20"/>
          <w:lang w:val="en-US" w:eastAsia="zh-CN"/>
        </w:rPr>
        <w:t xml:space="preserve"> for </w:t>
      </w:r>
      <w:r>
        <w:rPr>
          <w:color w:val="231F20"/>
        </w:rPr>
        <w:t>each day.</w:t>
      </w:r>
    </w:p>
    <w:p>
      <w:pPr>
        <w:pStyle w:val="5"/>
        <w:spacing w:line="259" w:lineRule="auto"/>
        <w:ind w:left="117" w:right="112" w:firstLine="170"/>
        <w:jc w:val="both"/>
      </w:pPr>
      <w:r>
        <w:rPr>
          <w:color w:val="231F20"/>
        </w:rPr>
        <w:t>Placebo control group: in addition to the conventional treatments, patients will be orally administered placebo (starch tablets with the same appearance as atorvastatin). The dosage will be consistent with that for atorvastatin.</w:t>
      </w:r>
    </w:p>
    <w:p>
      <w:pPr>
        <w:pStyle w:val="5"/>
        <w:spacing w:line="238" w:lineRule="exact"/>
        <w:ind w:left="287"/>
        <w:jc w:val="both"/>
      </w:pPr>
      <w:r>
        <w:rPr>
          <w:color w:val="231F20"/>
        </w:rPr>
        <w:t xml:space="preserve">A flow chart for this clinical trial is shown in </w:t>
      </w:r>
      <w:r>
        <w:rPr>
          <w:b/>
          <w:color w:val="231F20"/>
        </w:rPr>
        <w:t>Figure 1</w:t>
      </w:r>
      <w:r>
        <w:rPr>
          <w:rFonts w:hint="eastAsia" w:eastAsia="宋体"/>
          <w:b/>
          <w:color w:val="231F20"/>
          <w:lang w:val="en-US" w:eastAsia="zh-CN"/>
        </w:rPr>
        <w:t xml:space="preserve"> </w:t>
      </w:r>
      <w:r>
        <w:rPr>
          <w:rFonts w:hint="eastAsia" w:eastAsia="宋体"/>
          <w:b w:val="0"/>
          <w:bCs/>
          <w:color w:val="231F20"/>
          <w:lang w:val="en-US" w:eastAsia="zh-CN"/>
        </w:rPr>
        <w:t>and</w:t>
      </w:r>
      <w:r>
        <w:rPr>
          <w:rFonts w:hint="eastAsia" w:eastAsia="宋体"/>
          <w:b/>
          <w:color w:val="231F20"/>
          <w:lang w:val="en-US" w:eastAsia="zh-CN"/>
        </w:rPr>
        <w:t xml:space="preserve"> Figure 2</w:t>
      </w:r>
      <w:r>
        <w:rPr>
          <w:color w:val="231F20"/>
        </w:rPr>
        <w:t>.</w:t>
      </w:r>
    </w:p>
    <w:p>
      <w:pPr>
        <w:spacing w:after="0" w:line="238" w:lineRule="exact"/>
        <w:jc w:val="both"/>
        <w:sectPr>
          <w:type w:val="continuous"/>
          <w:pgSz w:w="12240" w:h="15840"/>
          <w:pgMar w:top="480" w:right="960" w:bottom="280" w:left="960" w:header="720" w:footer="720" w:gutter="0"/>
          <w:cols w:equalWidth="0" w:num="2">
            <w:col w:w="5022" w:space="200"/>
            <w:col w:w="5098"/>
          </w:cols>
        </w:sectPr>
      </w:pPr>
    </w:p>
    <w:p>
      <w:pPr>
        <w:pStyle w:val="5"/>
        <w:spacing w:before="2"/>
        <w:rPr>
          <w:sz w:val="13"/>
        </w:rPr>
      </w:pPr>
    </w:p>
    <w:p>
      <w:pPr>
        <w:pStyle w:val="5"/>
        <w:ind w:left="99"/>
        <w:jc w:val="center"/>
        <w:rPr>
          <w:rFonts w:hint="eastAsia" w:eastAsia="宋体"/>
          <w:sz w:val="20"/>
          <w:lang w:eastAsia="zh-CN"/>
        </w:rPr>
      </w:pPr>
      <w:r>
        <w:rPr>
          <w:rFonts w:hint="eastAsia" w:eastAsia="宋体"/>
          <w:sz w:val="20"/>
          <w:lang w:eastAsia="zh-CN"/>
        </w:rPr>
        <w:drawing>
          <wp:inline distT="0" distB="0" distL="114300" distR="114300">
            <wp:extent cx="3716020" cy="2005965"/>
            <wp:effectExtent l="0" t="0" r="2540" b="5715"/>
            <wp:docPr id="2" name="图片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1"/>
                    <pic:cNvPicPr>
                      <a:picLocks noChangeAspect="1"/>
                    </pic:cNvPicPr>
                  </pic:nvPicPr>
                  <pic:blipFill>
                    <a:blip r:embed="rId10"/>
                    <a:stretch>
                      <a:fillRect/>
                    </a:stretch>
                  </pic:blipFill>
                  <pic:spPr>
                    <a:xfrm>
                      <a:off x="0" y="0"/>
                      <a:ext cx="3716020" cy="2005965"/>
                    </a:xfrm>
                    <a:prstGeom prst="rect">
                      <a:avLst/>
                    </a:prstGeom>
                  </pic:spPr>
                </pic:pic>
              </a:graphicData>
            </a:graphic>
          </wp:inline>
        </w:drawing>
      </w:r>
    </w:p>
    <w:p>
      <w:pPr>
        <w:pStyle w:val="5"/>
        <w:ind w:left="99"/>
        <w:jc w:val="center"/>
        <w:rPr>
          <w:rFonts w:hint="eastAsia" w:eastAsia="宋体"/>
          <w:sz w:val="20"/>
          <w:lang w:val="en-US" w:eastAsia="zh-CN"/>
        </w:rPr>
      </w:pPr>
      <w:r>
        <w:rPr>
          <w:rFonts w:hint="eastAsia" w:eastAsia="宋体"/>
          <w:sz w:val="20"/>
          <w:lang w:val="en-US" w:eastAsia="zh-CN"/>
        </w:rPr>
        <w:t>Figure 1</w:t>
      </w:r>
    </w:p>
    <w:p>
      <w:pPr>
        <w:pStyle w:val="5"/>
        <w:ind w:left="99"/>
        <w:jc w:val="center"/>
        <w:rPr>
          <w:rFonts w:hint="default" w:eastAsia="宋体"/>
          <w:sz w:val="20"/>
          <w:lang w:val="en-US" w:eastAsia="zh-CN"/>
        </w:rPr>
      </w:pPr>
    </w:p>
    <w:p>
      <w:pPr>
        <w:pStyle w:val="5"/>
        <w:ind w:left="99"/>
        <w:jc w:val="center"/>
        <w:rPr>
          <w:rFonts w:hint="eastAsia" w:eastAsia="宋体"/>
          <w:sz w:val="20"/>
          <w:lang w:eastAsia="zh-CN"/>
        </w:rPr>
      </w:pPr>
      <w:r>
        <w:rPr>
          <w:rFonts w:hint="eastAsia" w:eastAsia="宋体"/>
          <w:sz w:val="20"/>
          <w:lang w:eastAsia="zh-CN"/>
        </w:rPr>
        <w:drawing>
          <wp:inline distT="0" distB="0" distL="114300" distR="114300">
            <wp:extent cx="3700145" cy="2607945"/>
            <wp:effectExtent l="0" t="0" r="3175" b="13335"/>
            <wp:docPr id="1" name="图片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2"/>
                    <pic:cNvPicPr>
                      <a:picLocks noChangeAspect="1"/>
                    </pic:cNvPicPr>
                  </pic:nvPicPr>
                  <pic:blipFill>
                    <a:blip r:embed="rId11"/>
                    <a:stretch>
                      <a:fillRect/>
                    </a:stretch>
                  </pic:blipFill>
                  <pic:spPr>
                    <a:xfrm>
                      <a:off x="0" y="0"/>
                      <a:ext cx="3700145" cy="2607945"/>
                    </a:xfrm>
                    <a:prstGeom prst="rect">
                      <a:avLst/>
                    </a:prstGeom>
                  </pic:spPr>
                </pic:pic>
              </a:graphicData>
            </a:graphic>
          </wp:inline>
        </w:drawing>
      </w:r>
    </w:p>
    <w:p>
      <w:pPr>
        <w:spacing w:after="0"/>
        <w:rPr>
          <w:sz w:val="20"/>
        </w:rPr>
      </w:pPr>
    </w:p>
    <w:p>
      <w:pPr>
        <w:spacing w:after="0"/>
        <w:jc w:val="center"/>
        <w:rPr>
          <w:rFonts w:hint="default" w:eastAsia="宋体"/>
          <w:sz w:val="20"/>
          <w:lang w:val="en-US" w:eastAsia="zh-CN"/>
        </w:rPr>
        <w:sectPr>
          <w:type w:val="continuous"/>
          <w:pgSz w:w="12240" w:h="15840"/>
          <w:pgMar w:top="480" w:right="960" w:bottom="280" w:left="960" w:header="720" w:footer="720" w:gutter="0"/>
        </w:sectPr>
      </w:pPr>
      <w:r>
        <w:rPr>
          <w:rFonts w:hint="eastAsia" w:eastAsia="宋体"/>
          <w:sz w:val="20"/>
          <w:lang w:val="en-US" w:eastAsia="zh-CN"/>
        </w:rPr>
        <w:t>Figure 2</w:t>
      </w:r>
    </w:p>
    <w:p>
      <w:pPr>
        <w:pStyle w:val="3"/>
        <w:spacing w:before="103"/>
      </w:pPr>
      <w:r>
        <w:rPr>
          <w:color w:val="32327F"/>
        </w:rPr>
        <w:t>Outcome measures</w:t>
      </w:r>
    </w:p>
    <w:p>
      <w:pPr>
        <w:pStyle w:val="4"/>
        <w:spacing w:before="3"/>
        <w:rPr>
          <w:i/>
        </w:rPr>
      </w:pPr>
      <w:r>
        <w:rPr>
          <w:i/>
          <w:color w:val="32327F"/>
        </w:rPr>
        <w:t>Primary outcomes</w:t>
      </w:r>
    </w:p>
    <w:p>
      <w:pPr>
        <w:pStyle w:val="10"/>
        <w:numPr>
          <w:ilvl w:val="0"/>
          <w:numId w:val="1"/>
        </w:numPr>
        <w:tabs>
          <w:tab w:val="left" w:pos="345"/>
        </w:tabs>
        <w:spacing w:before="2" w:after="0" w:line="240" w:lineRule="auto"/>
        <w:ind w:left="344" w:right="144" w:hanging="345"/>
        <w:jc w:val="left"/>
        <w:rPr>
          <w:color w:val="231F20"/>
          <w:sz w:val="21"/>
        </w:rPr>
      </w:pPr>
      <w:r>
        <w:rPr>
          <w:rFonts w:hint="eastAsia"/>
          <w:color w:val="231F20"/>
          <w:sz w:val="21"/>
        </w:rPr>
        <w:t>The primary endpoint assessed GOS at 6 months after aSAH, dichotomized as good (≥4) or poor (&lt;4) outcome.</w:t>
      </w:r>
    </w:p>
    <w:p>
      <w:pPr>
        <w:pStyle w:val="4"/>
        <w:rPr>
          <w:i/>
        </w:rPr>
      </w:pPr>
      <w:r>
        <w:rPr>
          <w:i/>
          <w:color w:val="32327F"/>
        </w:rPr>
        <w:t>Secondary outcomes</w:t>
      </w:r>
    </w:p>
    <w:p>
      <w:pPr>
        <w:pStyle w:val="5"/>
        <w:spacing w:before="12" w:line="261" w:lineRule="auto"/>
        <w:ind w:firstLine="210" w:firstLineChars="100"/>
        <w:rPr>
          <w:rFonts w:hint="eastAsia"/>
          <w:color w:val="231F20"/>
          <w:lang w:val="en-US" w:eastAsia="en-US"/>
        </w:rPr>
      </w:pPr>
      <w:r>
        <w:rPr>
          <w:rFonts w:hint="eastAsia"/>
          <w:color w:val="231F20"/>
          <w:lang w:val="en-US" w:eastAsia="en-US"/>
        </w:rPr>
        <w:t xml:space="preserve">The second primary efficacy endpoint assessed all-cause mortality at 30 days after aSAH, CVS, vasospasm-related new infarction and delayed ischaemic neurological deficit(DIND) due to vasospasm within 2 weeks post-aSAH. </w:t>
      </w:r>
    </w:p>
    <w:p>
      <w:pPr>
        <w:pStyle w:val="5"/>
        <w:spacing w:before="12" w:line="261" w:lineRule="auto"/>
        <w:ind w:left="117"/>
        <w:rPr>
          <w:rFonts w:hint="eastAsia"/>
          <w:color w:val="231F20"/>
          <w:lang w:val="en-US" w:eastAsia="en-US"/>
        </w:rPr>
      </w:pPr>
      <w:r>
        <w:rPr>
          <w:rFonts w:hint="eastAsia"/>
          <w:color w:val="231F20"/>
          <w:lang w:val="en-US" w:eastAsia="en-US"/>
        </w:rPr>
        <w:t>The defined of CVS, vasospasm-related new infarction</w:t>
      </w:r>
      <w:r>
        <w:rPr>
          <w:rFonts w:hint="eastAsia" w:eastAsia="宋体"/>
          <w:color w:val="231F20"/>
          <w:lang w:val="en-US" w:eastAsia="zh-CN"/>
        </w:rPr>
        <w:t xml:space="preserve"> </w:t>
      </w:r>
      <w:r>
        <w:rPr>
          <w:rFonts w:hint="eastAsia"/>
          <w:color w:val="231F20"/>
          <w:lang w:val="en-US" w:eastAsia="en-US"/>
        </w:rPr>
        <w:t xml:space="preserve">and DIND can be consult at previously study as follows: </w:t>
      </w:r>
    </w:p>
    <w:p>
      <w:pPr>
        <w:pStyle w:val="5"/>
        <w:spacing w:line="239" w:lineRule="exact"/>
        <w:ind w:left="117"/>
        <w:rPr>
          <w:rFonts w:hint="eastAsia"/>
        </w:rPr>
      </w:pPr>
      <w:r>
        <w:rPr>
          <w:rFonts w:hint="eastAsia"/>
        </w:rPr>
        <w:t xml:space="preserve">Angiographic vasospasm was defined as focal or generalized reduction of cerebral arterial caliber on conventional cerebral angiogram. TCD vasospasm was defined as any peak systolic middle cerebral artery velocity (PSVMCA) ＞200 cm/s and a Lindegaard ratio of ＞3. </w:t>
      </w:r>
      <w:bookmarkStart w:id="0" w:name="_GoBack"/>
      <w:bookmarkEnd w:id="0"/>
      <w:r>
        <w:rPr>
          <w:rFonts w:hint="eastAsia"/>
        </w:rPr>
        <w:t>Vasospasm-related new infarction was defined that vasospasm was the relevant contributing factor or primary cause, and the development of a new lesion consistent with infarction on CT or MRI. DIND was defined as any 2 or more point fall in Glasgow Coma Scale or unaccountable new focal neurological deficit lasting ≥2 hours.</w:t>
      </w:r>
    </w:p>
    <w:p>
      <w:pPr>
        <w:pStyle w:val="5"/>
        <w:spacing w:line="239" w:lineRule="exact"/>
        <w:rPr>
          <w:rFonts w:hint="eastAsia"/>
        </w:rPr>
      </w:pPr>
    </w:p>
    <w:p>
      <w:pPr>
        <w:pStyle w:val="3"/>
        <w:spacing w:before="102"/>
      </w:pPr>
      <w:r>
        <w:rPr>
          <w:color w:val="32327F"/>
        </w:rPr>
        <w:t>Follow-up</w:t>
      </w:r>
    </w:p>
    <w:p>
      <w:pPr>
        <w:pStyle w:val="5"/>
        <w:spacing w:before="8" w:line="259" w:lineRule="auto"/>
        <w:ind w:left="117" w:right="43"/>
        <w:jc w:val="both"/>
      </w:pPr>
      <w:r>
        <w:rPr>
          <w:color w:val="231F20"/>
          <w:spacing w:val="-3"/>
        </w:rPr>
        <w:t>The</w:t>
      </w:r>
      <w:r>
        <w:rPr>
          <w:color w:val="231F20"/>
          <w:spacing w:val="-20"/>
        </w:rPr>
        <w:t xml:space="preserve"> </w:t>
      </w:r>
      <w:r>
        <w:rPr>
          <w:color w:val="231F20"/>
          <w:spacing w:val="-4"/>
        </w:rPr>
        <w:t>participants</w:t>
      </w:r>
      <w:r>
        <w:rPr>
          <w:color w:val="231F20"/>
          <w:spacing w:val="-19"/>
        </w:rPr>
        <w:t xml:space="preserve"> </w:t>
      </w:r>
      <w:r>
        <w:rPr>
          <w:color w:val="231F20"/>
          <w:spacing w:val="-4"/>
        </w:rPr>
        <w:t>will</w:t>
      </w:r>
      <w:r>
        <w:rPr>
          <w:color w:val="231F20"/>
          <w:spacing w:val="-20"/>
        </w:rPr>
        <w:t xml:space="preserve"> </w:t>
      </w:r>
      <w:r>
        <w:rPr>
          <w:color w:val="231F20"/>
        </w:rPr>
        <w:t>be</w:t>
      </w:r>
      <w:r>
        <w:rPr>
          <w:color w:val="231F20"/>
          <w:spacing w:val="-20"/>
        </w:rPr>
        <w:t xml:space="preserve"> </w:t>
      </w:r>
      <w:r>
        <w:rPr>
          <w:color w:val="231F20"/>
          <w:spacing w:val="-4"/>
        </w:rPr>
        <w:t>followed</w:t>
      </w:r>
      <w:r>
        <w:rPr>
          <w:color w:val="231F20"/>
          <w:spacing w:val="-19"/>
        </w:rPr>
        <w:t xml:space="preserve"> </w:t>
      </w:r>
      <w:r>
        <w:rPr>
          <w:color w:val="231F20"/>
        </w:rPr>
        <w:t>up</w:t>
      </w:r>
      <w:r>
        <w:rPr>
          <w:color w:val="231F20"/>
          <w:spacing w:val="-19"/>
        </w:rPr>
        <w:t xml:space="preserve"> </w:t>
      </w:r>
      <w:r>
        <w:rPr>
          <w:color w:val="231F20"/>
        </w:rPr>
        <w:t>6</w:t>
      </w:r>
      <w:r>
        <w:rPr>
          <w:color w:val="231F20"/>
          <w:spacing w:val="-20"/>
        </w:rPr>
        <w:t xml:space="preserve"> </w:t>
      </w:r>
      <w:r>
        <w:rPr>
          <w:color w:val="231F20"/>
          <w:spacing w:val="-4"/>
        </w:rPr>
        <w:t>months</w:t>
      </w:r>
      <w:r>
        <w:rPr>
          <w:color w:val="231F20"/>
          <w:spacing w:val="-19"/>
        </w:rPr>
        <w:t xml:space="preserve"> </w:t>
      </w:r>
      <w:r>
        <w:rPr>
          <w:color w:val="231F20"/>
          <w:spacing w:val="-4"/>
        </w:rPr>
        <w:t>after</w:t>
      </w:r>
      <w:r>
        <w:rPr>
          <w:color w:val="231F20"/>
          <w:spacing w:val="-19"/>
        </w:rPr>
        <w:t xml:space="preserve"> </w:t>
      </w:r>
      <w:r>
        <w:rPr>
          <w:color w:val="231F20"/>
          <w:spacing w:val="-5"/>
        </w:rPr>
        <w:t xml:space="preserve">discharge. </w:t>
      </w:r>
      <w:r>
        <w:rPr>
          <w:color w:val="231F20"/>
        </w:rPr>
        <w:t>The</w:t>
      </w:r>
      <w:r>
        <w:rPr>
          <w:color w:val="231F20"/>
          <w:spacing w:val="-10"/>
        </w:rPr>
        <w:t xml:space="preserve"> </w:t>
      </w:r>
      <w:r>
        <w:rPr>
          <w:color w:val="231F20"/>
        </w:rPr>
        <w:t>patients</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requested</w:t>
      </w:r>
      <w:r>
        <w:rPr>
          <w:color w:val="231F20"/>
          <w:spacing w:val="-9"/>
        </w:rPr>
        <w:t xml:space="preserve"> </w:t>
      </w:r>
      <w:r>
        <w:rPr>
          <w:color w:val="231F20"/>
        </w:rPr>
        <w:t>by</w:t>
      </w:r>
      <w:r>
        <w:rPr>
          <w:color w:val="231F20"/>
          <w:spacing w:val="-9"/>
        </w:rPr>
        <w:t xml:space="preserve"> </w:t>
      </w:r>
      <w:r>
        <w:rPr>
          <w:color w:val="231F20"/>
        </w:rPr>
        <w:t>telephone</w:t>
      </w:r>
      <w:r>
        <w:rPr>
          <w:color w:val="231F20"/>
          <w:spacing w:val="-9"/>
        </w:rPr>
        <w:t xml:space="preserve"> </w:t>
      </w:r>
      <w:r>
        <w:rPr>
          <w:color w:val="231F20"/>
        </w:rPr>
        <w:t>to</w:t>
      </w:r>
      <w:r>
        <w:rPr>
          <w:color w:val="231F20"/>
          <w:spacing w:val="-10"/>
        </w:rPr>
        <w:t xml:space="preserve"> </w:t>
      </w:r>
      <w:r>
        <w:rPr>
          <w:color w:val="231F20"/>
        </w:rPr>
        <w:t>return</w:t>
      </w:r>
      <w:r>
        <w:rPr>
          <w:color w:val="231F20"/>
          <w:spacing w:val="-9"/>
        </w:rPr>
        <w:t xml:space="preserve"> </w:t>
      </w:r>
      <w:r>
        <w:rPr>
          <w:color w:val="231F20"/>
        </w:rPr>
        <w:t>to</w:t>
      </w:r>
      <w:r>
        <w:rPr>
          <w:color w:val="231F20"/>
          <w:spacing w:val="-9"/>
        </w:rPr>
        <w:t xml:space="preserve"> </w:t>
      </w:r>
      <w:r>
        <w:rPr>
          <w:color w:val="231F20"/>
          <w:spacing w:val="-2"/>
        </w:rPr>
        <w:t xml:space="preserve">the </w:t>
      </w:r>
      <w:r>
        <w:rPr>
          <w:color w:val="231F20"/>
        </w:rPr>
        <w:t>hospital</w:t>
      </w:r>
      <w:r>
        <w:rPr>
          <w:color w:val="231F20"/>
          <w:spacing w:val="-18"/>
        </w:rPr>
        <w:t xml:space="preserve"> </w:t>
      </w:r>
      <w:r>
        <w:rPr>
          <w:color w:val="231F20"/>
        </w:rPr>
        <w:t>for</w:t>
      </w:r>
      <w:r>
        <w:rPr>
          <w:color w:val="231F20"/>
          <w:spacing w:val="-18"/>
        </w:rPr>
        <w:t xml:space="preserve"> </w:t>
      </w:r>
      <w:r>
        <w:rPr>
          <w:color w:val="231F20"/>
        </w:rPr>
        <w:t>examinations</w:t>
      </w:r>
      <w:r>
        <w:rPr>
          <w:color w:val="231F20"/>
          <w:spacing w:val="-18"/>
        </w:rPr>
        <w:t xml:space="preserve"> </w:t>
      </w:r>
      <w:r>
        <w:rPr>
          <w:color w:val="231F20"/>
        </w:rPr>
        <w:t>that</w:t>
      </w:r>
      <w:r>
        <w:rPr>
          <w:color w:val="231F20"/>
          <w:spacing w:val="-18"/>
        </w:rPr>
        <w:t xml:space="preserve"> </w:t>
      </w:r>
      <w:r>
        <w:rPr>
          <w:color w:val="231F20"/>
        </w:rPr>
        <w:t>will</w:t>
      </w:r>
      <w:r>
        <w:rPr>
          <w:color w:val="231F20"/>
          <w:spacing w:val="-18"/>
        </w:rPr>
        <w:t xml:space="preserve"> </w:t>
      </w:r>
      <w:r>
        <w:rPr>
          <w:color w:val="231F20"/>
        </w:rPr>
        <w:t>include</w:t>
      </w:r>
      <w:r>
        <w:rPr>
          <w:color w:val="231F20"/>
          <w:spacing w:val="-18"/>
        </w:rPr>
        <w:t xml:space="preserve"> </w:t>
      </w:r>
      <w:r>
        <w:rPr>
          <w:color w:val="231F20"/>
        </w:rPr>
        <w:t>CT</w:t>
      </w:r>
      <w:r>
        <w:rPr>
          <w:color w:val="231F20"/>
          <w:spacing w:val="-21"/>
        </w:rPr>
        <w:t xml:space="preserve"> </w:t>
      </w:r>
      <w:r>
        <w:rPr>
          <w:color w:val="231F20"/>
        </w:rPr>
        <w:t>angiography plus</w:t>
      </w:r>
      <w:r>
        <w:rPr>
          <w:color w:val="231F20"/>
          <w:spacing w:val="-18"/>
        </w:rPr>
        <w:t xml:space="preserve"> </w:t>
      </w:r>
      <w:r>
        <w:rPr>
          <w:color w:val="231F20"/>
        </w:rPr>
        <w:t>CT</w:t>
      </w:r>
      <w:r>
        <w:rPr>
          <w:color w:val="231F20"/>
          <w:spacing w:val="-20"/>
        </w:rPr>
        <w:t xml:space="preserve"> </w:t>
      </w:r>
      <w:r>
        <w:rPr>
          <w:color w:val="231F20"/>
        </w:rPr>
        <w:t>perfusion</w:t>
      </w:r>
      <w:r>
        <w:rPr>
          <w:color w:val="231F20"/>
          <w:spacing w:val="-17"/>
        </w:rPr>
        <w:t xml:space="preserve"> </w:t>
      </w:r>
      <w:r>
        <w:rPr>
          <w:color w:val="231F20"/>
        </w:rPr>
        <w:t>imaging,</w:t>
      </w:r>
      <w:r>
        <w:rPr>
          <w:color w:val="231F20"/>
          <w:spacing w:val="-18"/>
        </w:rPr>
        <w:t xml:space="preserve"> </w:t>
      </w:r>
      <w:r>
        <w:rPr>
          <w:color w:val="231F20"/>
        </w:rPr>
        <w:t>conventional</w:t>
      </w:r>
      <w:r>
        <w:rPr>
          <w:color w:val="231F20"/>
          <w:spacing w:val="-17"/>
        </w:rPr>
        <w:t xml:space="preserve"> </w:t>
      </w:r>
      <w:r>
        <w:rPr>
          <w:color w:val="231F20"/>
          <w:spacing w:val="-7"/>
        </w:rPr>
        <w:t>CT,</w:t>
      </w:r>
      <w:r>
        <w:rPr>
          <w:color w:val="231F20"/>
          <w:spacing w:val="-17"/>
        </w:rPr>
        <w:t xml:space="preserve"> </w:t>
      </w:r>
      <w:r>
        <w:rPr>
          <w:color w:val="231F20"/>
        </w:rPr>
        <w:t>blood</w:t>
      </w:r>
      <w:r>
        <w:rPr>
          <w:color w:val="231F20"/>
          <w:spacing w:val="-18"/>
        </w:rPr>
        <w:t xml:space="preserve"> </w:t>
      </w:r>
      <w:r>
        <w:rPr>
          <w:color w:val="231F20"/>
          <w:spacing w:val="-3"/>
        </w:rPr>
        <w:t xml:space="preserve">testing, </w:t>
      </w:r>
      <w:r>
        <w:rPr>
          <w:color w:val="231F20"/>
          <w:spacing w:val="-4"/>
        </w:rPr>
        <w:t>cerebrospinal</w:t>
      </w:r>
      <w:r>
        <w:rPr>
          <w:color w:val="231F20"/>
          <w:spacing w:val="-19"/>
        </w:rPr>
        <w:t xml:space="preserve"> </w:t>
      </w:r>
      <w:r>
        <w:rPr>
          <w:color w:val="231F20"/>
          <w:spacing w:val="-3"/>
        </w:rPr>
        <w:t>fluid</w:t>
      </w:r>
      <w:r>
        <w:rPr>
          <w:color w:val="231F20"/>
          <w:spacing w:val="-19"/>
        </w:rPr>
        <w:t xml:space="preserve"> </w:t>
      </w:r>
      <w:r>
        <w:rPr>
          <w:color w:val="231F20"/>
          <w:spacing w:val="-4"/>
        </w:rPr>
        <w:t>analysis,</w:t>
      </w:r>
      <w:r>
        <w:rPr>
          <w:color w:val="231F20"/>
          <w:spacing w:val="-19"/>
        </w:rPr>
        <w:t xml:space="preserve"> </w:t>
      </w:r>
      <w:r>
        <w:rPr>
          <w:color w:val="231F20"/>
          <w:spacing w:val="-4"/>
        </w:rPr>
        <w:t>transcranial</w:t>
      </w:r>
      <w:r>
        <w:rPr>
          <w:color w:val="231F20"/>
          <w:spacing w:val="-19"/>
        </w:rPr>
        <w:t xml:space="preserve"> </w:t>
      </w:r>
      <w:r>
        <w:rPr>
          <w:color w:val="231F20"/>
          <w:spacing w:val="-4"/>
        </w:rPr>
        <w:t>Doppler</w:t>
      </w:r>
      <w:r>
        <w:rPr>
          <w:color w:val="231F20"/>
          <w:spacing w:val="-18"/>
        </w:rPr>
        <w:t xml:space="preserve"> </w:t>
      </w:r>
      <w:r>
        <w:rPr>
          <w:color w:val="231F20"/>
          <w:spacing w:val="-4"/>
        </w:rPr>
        <w:t>ultrasonography,</w:t>
      </w:r>
      <w:r>
        <w:rPr>
          <w:color w:val="231F20"/>
          <w:spacing w:val="-25"/>
        </w:rPr>
        <w:t xml:space="preserve"> </w:t>
      </w:r>
      <w:r>
        <w:rPr>
          <w:color w:val="231F20"/>
        </w:rPr>
        <w:t>and</w:t>
      </w:r>
      <w:r>
        <w:rPr>
          <w:color w:val="231F20"/>
          <w:spacing w:val="-24"/>
        </w:rPr>
        <w:t xml:space="preserve"> </w:t>
      </w:r>
      <w:r>
        <w:rPr>
          <w:color w:val="231F20"/>
        </w:rPr>
        <w:t>neurological</w:t>
      </w:r>
      <w:r>
        <w:rPr>
          <w:color w:val="231F20"/>
          <w:spacing w:val="-25"/>
        </w:rPr>
        <w:t xml:space="preserve"> </w:t>
      </w:r>
      <w:r>
        <w:rPr>
          <w:color w:val="231F20"/>
        </w:rPr>
        <w:t>scale</w:t>
      </w:r>
      <w:r>
        <w:rPr>
          <w:color w:val="231F20"/>
          <w:spacing w:val="-24"/>
        </w:rPr>
        <w:t xml:space="preserve"> </w:t>
      </w:r>
      <w:r>
        <w:rPr>
          <w:color w:val="231F20"/>
        </w:rPr>
        <w:t>assessments.</w:t>
      </w:r>
      <w:r>
        <w:rPr>
          <w:color w:val="231F20"/>
          <w:spacing w:val="-24"/>
        </w:rPr>
        <w:t xml:space="preserve"> </w:t>
      </w:r>
      <w:r>
        <w:rPr>
          <w:color w:val="231F20"/>
        </w:rPr>
        <w:t>If</w:t>
      </w:r>
      <w:r>
        <w:rPr>
          <w:color w:val="231F20"/>
          <w:spacing w:val="-25"/>
        </w:rPr>
        <w:t xml:space="preserve"> </w:t>
      </w:r>
      <w:r>
        <w:rPr>
          <w:color w:val="231F20"/>
        </w:rPr>
        <w:t>a</w:t>
      </w:r>
      <w:r>
        <w:rPr>
          <w:color w:val="231F20"/>
          <w:spacing w:val="-24"/>
        </w:rPr>
        <w:t xml:space="preserve"> </w:t>
      </w:r>
      <w:r>
        <w:rPr>
          <w:color w:val="231F20"/>
        </w:rPr>
        <w:t>patient</w:t>
      </w:r>
      <w:r>
        <w:rPr>
          <w:color w:val="231F20"/>
          <w:spacing w:val="-24"/>
        </w:rPr>
        <w:t xml:space="preserve"> </w:t>
      </w:r>
      <w:r>
        <w:rPr>
          <w:color w:val="231F20"/>
        </w:rPr>
        <w:t>is</w:t>
      </w:r>
      <w:r>
        <w:rPr>
          <w:color w:val="231F20"/>
          <w:spacing w:val="-25"/>
        </w:rPr>
        <w:t xml:space="preserve"> </w:t>
      </w:r>
      <w:r>
        <w:rPr>
          <w:color w:val="231F20"/>
        </w:rPr>
        <w:t>lost to</w:t>
      </w:r>
      <w:r>
        <w:rPr>
          <w:color w:val="231F20"/>
          <w:spacing w:val="-17"/>
        </w:rPr>
        <w:t xml:space="preserve"> </w:t>
      </w:r>
      <w:r>
        <w:rPr>
          <w:color w:val="231F20"/>
        </w:rPr>
        <w:t>follow-up,</w:t>
      </w:r>
      <w:r>
        <w:rPr>
          <w:color w:val="231F20"/>
          <w:spacing w:val="-16"/>
        </w:rPr>
        <w:t xml:space="preserve"> </w:t>
      </w:r>
      <w:r>
        <w:rPr>
          <w:color w:val="231F20"/>
        </w:rPr>
        <w:t>the</w:t>
      </w:r>
      <w:r>
        <w:rPr>
          <w:color w:val="231F20"/>
          <w:spacing w:val="-17"/>
        </w:rPr>
        <w:t xml:space="preserve"> </w:t>
      </w:r>
      <w:r>
        <w:rPr>
          <w:color w:val="231F20"/>
        </w:rPr>
        <w:t>last</w:t>
      </w:r>
      <w:r>
        <w:rPr>
          <w:color w:val="231F20"/>
          <w:spacing w:val="-17"/>
        </w:rPr>
        <w:t xml:space="preserve"> </w:t>
      </w:r>
      <w:r>
        <w:rPr>
          <w:color w:val="231F20"/>
        </w:rPr>
        <w:t>values</w:t>
      </w:r>
      <w:r>
        <w:rPr>
          <w:color w:val="231F20"/>
          <w:spacing w:val="-16"/>
        </w:rPr>
        <w:t xml:space="preserve"> </w:t>
      </w:r>
      <w:r>
        <w:rPr>
          <w:color w:val="231F20"/>
        </w:rPr>
        <w:t>assessed</w:t>
      </w:r>
      <w:r>
        <w:rPr>
          <w:color w:val="231F20"/>
          <w:spacing w:val="-17"/>
        </w:rPr>
        <w:t xml:space="preserve"> </w:t>
      </w:r>
      <w:r>
        <w:rPr>
          <w:color w:val="231F20"/>
        </w:rPr>
        <w:t>will</w:t>
      </w:r>
      <w:r>
        <w:rPr>
          <w:color w:val="231F20"/>
          <w:spacing w:val="-17"/>
        </w:rPr>
        <w:t xml:space="preserve"> </w:t>
      </w:r>
      <w:r>
        <w:rPr>
          <w:color w:val="231F20"/>
        </w:rPr>
        <w:t>be</w:t>
      </w:r>
      <w:r>
        <w:rPr>
          <w:color w:val="231F20"/>
          <w:spacing w:val="-16"/>
        </w:rPr>
        <w:t xml:space="preserve"> </w:t>
      </w:r>
      <w:r>
        <w:rPr>
          <w:color w:val="231F20"/>
        </w:rPr>
        <w:t>considered</w:t>
      </w:r>
      <w:r>
        <w:rPr>
          <w:color w:val="231F20"/>
          <w:spacing w:val="-17"/>
        </w:rPr>
        <w:t xml:space="preserve"> </w:t>
      </w:r>
      <w:r>
        <w:rPr>
          <w:color w:val="231F20"/>
          <w:spacing w:val="-2"/>
        </w:rPr>
        <w:t xml:space="preserve">the </w:t>
      </w:r>
      <w:r>
        <w:rPr>
          <w:color w:val="231F20"/>
        </w:rPr>
        <w:t>values for the 6-month</w:t>
      </w:r>
      <w:r>
        <w:rPr>
          <w:color w:val="231F20"/>
          <w:spacing w:val="-21"/>
        </w:rPr>
        <w:t xml:space="preserve"> </w:t>
      </w:r>
      <w:r>
        <w:rPr>
          <w:color w:val="231F20"/>
        </w:rPr>
        <w:t>follow-up.</w:t>
      </w:r>
    </w:p>
    <w:p>
      <w:pPr>
        <w:pStyle w:val="5"/>
        <w:spacing w:line="239" w:lineRule="exact"/>
        <w:ind w:left="117"/>
        <w:rPr>
          <w:rFonts w:hint="eastAsia"/>
        </w:rPr>
      </w:pPr>
    </w:p>
    <w:p>
      <w:pPr>
        <w:pStyle w:val="3"/>
      </w:pPr>
      <w:r>
        <w:rPr>
          <w:color w:val="32327F"/>
        </w:rPr>
        <w:t>Safety</w:t>
      </w:r>
    </w:p>
    <w:p>
      <w:pPr>
        <w:pStyle w:val="5"/>
        <w:spacing w:before="9" w:line="259" w:lineRule="auto"/>
        <w:ind w:left="117" w:right="44"/>
        <w:jc w:val="both"/>
      </w:pPr>
      <w:r>
        <w:rPr>
          <w:color w:val="231F20"/>
          <w:spacing w:val="-4"/>
        </w:rPr>
        <w:t xml:space="preserve">Adverse reactions </w:t>
      </w:r>
      <w:r>
        <w:rPr>
          <w:color w:val="231F20"/>
          <w:spacing w:val="-3"/>
        </w:rPr>
        <w:t xml:space="preserve">may </w:t>
      </w:r>
      <w:r>
        <w:rPr>
          <w:color w:val="231F20"/>
          <w:spacing w:val="-4"/>
        </w:rPr>
        <w:t xml:space="preserve">include gastrointestinal dysfunction, </w:t>
      </w:r>
      <w:r>
        <w:rPr>
          <w:color w:val="231F20"/>
          <w:spacing w:val="-5"/>
        </w:rPr>
        <w:t>immune</w:t>
      </w:r>
      <w:r>
        <w:rPr>
          <w:color w:val="231F20"/>
          <w:spacing w:val="-20"/>
        </w:rPr>
        <w:t xml:space="preserve"> </w:t>
      </w:r>
      <w:r>
        <w:rPr>
          <w:color w:val="231F20"/>
          <w:spacing w:val="-5"/>
        </w:rPr>
        <w:t>system</w:t>
      </w:r>
      <w:r>
        <w:rPr>
          <w:color w:val="231F20"/>
          <w:spacing w:val="-19"/>
        </w:rPr>
        <w:t xml:space="preserve"> </w:t>
      </w:r>
      <w:r>
        <w:rPr>
          <w:color w:val="231F20"/>
          <w:spacing w:val="-5"/>
        </w:rPr>
        <w:t>dysfunction,</w:t>
      </w:r>
      <w:r>
        <w:rPr>
          <w:color w:val="231F20"/>
          <w:spacing w:val="-19"/>
        </w:rPr>
        <w:t xml:space="preserve"> </w:t>
      </w:r>
      <w:r>
        <w:rPr>
          <w:color w:val="231F20"/>
          <w:spacing w:val="-5"/>
        </w:rPr>
        <w:t>insomnia,</w:t>
      </w:r>
      <w:r>
        <w:rPr>
          <w:color w:val="231F20"/>
          <w:spacing w:val="-19"/>
        </w:rPr>
        <w:t xml:space="preserve"> </w:t>
      </w:r>
      <w:r>
        <w:rPr>
          <w:color w:val="231F20"/>
          <w:spacing w:val="-5"/>
        </w:rPr>
        <w:t>forgetfulness,</w:t>
      </w:r>
      <w:r>
        <w:rPr>
          <w:color w:val="231F20"/>
          <w:spacing w:val="-19"/>
        </w:rPr>
        <w:t xml:space="preserve"> </w:t>
      </w:r>
      <w:r>
        <w:rPr>
          <w:color w:val="231F20"/>
          <w:spacing w:val="-5"/>
        </w:rPr>
        <w:t xml:space="preserve">nervous </w:t>
      </w:r>
      <w:r>
        <w:rPr>
          <w:color w:val="231F20"/>
          <w:spacing w:val="-4"/>
        </w:rPr>
        <w:t xml:space="preserve">system dysfunction, pruritus, myalgia, arthralgia, </w:t>
      </w:r>
      <w:r>
        <w:rPr>
          <w:color w:val="231F20"/>
          <w:spacing w:val="-3"/>
        </w:rPr>
        <w:t xml:space="preserve">and </w:t>
      </w:r>
      <w:r>
        <w:rPr>
          <w:color w:val="231F20"/>
          <w:spacing w:val="-4"/>
        </w:rPr>
        <w:t xml:space="preserve">serum transaminase </w:t>
      </w:r>
      <w:r>
        <w:rPr>
          <w:color w:val="231F20"/>
          <w:spacing w:val="-3"/>
        </w:rPr>
        <w:t xml:space="preserve">and </w:t>
      </w:r>
      <w:r>
        <w:rPr>
          <w:color w:val="231F20"/>
          <w:spacing w:val="-4"/>
        </w:rPr>
        <w:t>phosphocreatine kinase</w:t>
      </w:r>
      <w:r>
        <w:rPr>
          <w:color w:val="231F20"/>
          <w:spacing w:val="-13"/>
        </w:rPr>
        <w:t xml:space="preserve"> </w:t>
      </w:r>
      <w:r>
        <w:rPr>
          <w:color w:val="231F20"/>
          <w:spacing w:val="-4"/>
        </w:rPr>
        <w:t>abnormalities.</w:t>
      </w:r>
    </w:p>
    <w:p>
      <w:pPr>
        <w:pStyle w:val="5"/>
        <w:spacing w:line="259" w:lineRule="auto"/>
        <w:ind w:left="117" w:right="40" w:firstLine="170"/>
        <w:jc w:val="both"/>
      </w:pPr>
      <w:r>
        <w:rPr>
          <w:color w:val="231F20"/>
          <w:spacing w:val="-8"/>
        </w:rPr>
        <w:t>To</w:t>
      </w:r>
      <w:r>
        <w:rPr>
          <w:color w:val="231F20"/>
          <w:spacing w:val="-9"/>
        </w:rPr>
        <w:t xml:space="preserve"> </w:t>
      </w:r>
      <w:r>
        <w:rPr>
          <w:color w:val="231F20"/>
        </w:rPr>
        <w:t>facilitate</w:t>
      </w:r>
      <w:r>
        <w:rPr>
          <w:color w:val="231F20"/>
          <w:spacing w:val="-8"/>
        </w:rPr>
        <w:t xml:space="preserve"> </w:t>
      </w:r>
      <w:r>
        <w:rPr>
          <w:color w:val="231F20"/>
        </w:rPr>
        <w:t>truthful</w:t>
      </w:r>
      <w:r>
        <w:rPr>
          <w:color w:val="231F20"/>
          <w:spacing w:val="-8"/>
        </w:rPr>
        <w:t xml:space="preserve"> </w:t>
      </w:r>
      <w:r>
        <w:rPr>
          <w:color w:val="231F20"/>
        </w:rPr>
        <w:t>reporting</w:t>
      </w:r>
      <w:r>
        <w:rPr>
          <w:color w:val="231F20"/>
          <w:spacing w:val="-8"/>
        </w:rPr>
        <w:t xml:space="preserve"> </w:t>
      </w:r>
      <w:r>
        <w:rPr>
          <w:color w:val="231F20"/>
        </w:rPr>
        <w:t>by</w:t>
      </w:r>
      <w:r>
        <w:rPr>
          <w:color w:val="231F20"/>
          <w:spacing w:val="-8"/>
        </w:rPr>
        <w:t xml:space="preserve"> </w:t>
      </w:r>
      <w:r>
        <w:rPr>
          <w:color w:val="231F20"/>
        </w:rPr>
        <w:t>patients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changes in their conditions after drug use, the doctors will avoid asking patients leading questions. Adverse events or un- anticipated side effects (symptoms, signs, and laboratory tests) will be recorded in addition to the curative</w:t>
      </w:r>
      <w:r>
        <w:rPr>
          <w:color w:val="231F20"/>
          <w:spacing w:val="-8"/>
        </w:rPr>
        <w:t xml:space="preserve"> </w:t>
      </w:r>
      <w:r>
        <w:rPr>
          <w:color w:val="231F20"/>
        </w:rPr>
        <w:t>effects.</w:t>
      </w:r>
    </w:p>
    <w:p>
      <w:pPr>
        <w:pStyle w:val="5"/>
        <w:spacing w:before="1" w:line="259" w:lineRule="auto"/>
        <w:ind w:left="117" w:right="38" w:firstLine="170"/>
        <w:jc w:val="both"/>
      </w:pPr>
      <w:r>
        <w:rPr>
          <w:color w:val="231F20"/>
        </w:rPr>
        <w:t>If severe adverse events occur, researchers will immediately take appropriate therapeutic measures. The drug will be withdrawn. Drug withdrawal time, adverse</w:t>
      </w:r>
      <w:r>
        <w:rPr>
          <w:color w:val="231F20"/>
          <w:spacing w:val="-37"/>
        </w:rPr>
        <w:t xml:space="preserve"> </w:t>
      </w:r>
      <w:r>
        <w:rPr>
          <w:color w:val="231F20"/>
        </w:rPr>
        <w:t>events, symptoms, occurrence time, duration, treatment, and out- come will be recorded. The investigators will report all severe adverse events to the responsible unit, reporting units,</w:t>
      </w:r>
      <w:r>
        <w:rPr>
          <w:color w:val="231F20"/>
          <w:spacing w:val="-4"/>
        </w:rPr>
        <w:t xml:space="preserve"> </w:t>
      </w:r>
      <w:r>
        <w:rPr>
          <w:color w:val="231F20"/>
        </w:rPr>
        <w:t>the</w:t>
      </w:r>
      <w:r>
        <w:rPr>
          <w:color w:val="231F20"/>
          <w:spacing w:val="-4"/>
        </w:rPr>
        <w:t xml:space="preserve"> </w:t>
      </w:r>
      <w:r>
        <w:rPr>
          <w:color w:val="231F20"/>
        </w:rPr>
        <w:t>ethics</w:t>
      </w:r>
      <w:r>
        <w:rPr>
          <w:color w:val="231F20"/>
          <w:spacing w:val="-4"/>
        </w:rPr>
        <w:t xml:space="preserve"> </w:t>
      </w:r>
      <w:r>
        <w:rPr>
          <w:color w:val="231F20"/>
        </w:rPr>
        <w:t>committee,</w:t>
      </w:r>
      <w:r>
        <w:rPr>
          <w:color w:val="231F20"/>
          <w:spacing w:val="-4"/>
        </w:rPr>
        <w:t xml:space="preserve"> </w:t>
      </w:r>
      <w:r>
        <w:rPr>
          <w:color w:val="231F20"/>
        </w:rPr>
        <w:t>the</w:t>
      </w:r>
      <w:r>
        <w:rPr>
          <w:color w:val="231F20"/>
          <w:spacing w:val="-4"/>
        </w:rPr>
        <w:t xml:space="preserve"> </w:t>
      </w:r>
      <w:r>
        <w:rPr>
          <w:color w:val="231F20"/>
        </w:rPr>
        <w:t>Drug</w:t>
      </w:r>
      <w:r>
        <w:rPr>
          <w:color w:val="231F20"/>
          <w:spacing w:val="-3"/>
        </w:rPr>
        <w:t xml:space="preserve"> </w:t>
      </w:r>
      <w:r>
        <w:rPr>
          <w:color w:val="231F20"/>
        </w:rPr>
        <w:t>Supervision</w:t>
      </w:r>
      <w:r>
        <w:rPr>
          <w:color w:val="231F20"/>
          <w:spacing w:val="-4"/>
        </w:rPr>
        <w:t xml:space="preserve"> </w:t>
      </w:r>
      <w:r>
        <w:rPr>
          <w:color w:val="231F20"/>
        </w:rPr>
        <w:t>and</w:t>
      </w:r>
      <w:r>
        <w:rPr>
          <w:color w:val="231F20"/>
          <w:spacing w:val="-16"/>
        </w:rPr>
        <w:t xml:space="preserve"> </w:t>
      </w:r>
      <w:r>
        <w:rPr>
          <w:color w:val="231F20"/>
        </w:rPr>
        <w:t>Ad- ministration Department, and the relevant administrative departments within 24 hours. The investigators will sign and date the report.</w:t>
      </w:r>
    </w:p>
    <w:p>
      <w:pPr>
        <w:pStyle w:val="5"/>
        <w:spacing w:line="239" w:lineRule="exact"/>
        <w:rPr>
          <w:rFonts w:hint="eastAsia"/>
        </w:rPr>
      </w:pPr>
    </w:p>
    <w:p>
      <w:pPr>
        <w:pStyle w:val="3"/>
        <w:spacing w:before="1"/>
      </w:pPr>
      <w:r>
        <w:rPr>
          <w:color w:val="32327F"/>
        </w:rPr>
        <w:t>Data management</w:t>
      </w:r>
    </w:p>
    <w:p>
      <w:pPr>
        <w:pStyle w:val="5"/>
        <w:spacing w:before="8" w:line="259" w:lineRule="auto"/>
        <w:ind w:left="117" w:right="40"/>
        <w:jc w:val="both"/>
      </w:pPr>
      <w:r>
        <w:rPr>
          <w:color w:val="231F20"/>
        </w:rPr>
        <w:t>The</w:t>
      </w:r>
      <w:r>
        <w:rPr>
          <w:color w:val="231F20"/>
          <w:spacing w:val="-13"/>
        </w:rPr>
        <w:t xml:space="preserve"> </w:t>
      </w:r>
      <w:r>
        <w:rPr>
          <w:color w:val="231F20"/>
        </w:rPr>
        <w:t>medical</w:t>
      </w:r>
      <w:r>
        <w:rPr>
          <w:color w:val="231F20"/>
          <w:spacing w:val="-13"/>
        </w:rPr>
        <w:t xml:space="preserve"> </w:t>
      </w:r>
      <w:r>
        <w:rPr>
          <w:color w:val="231F20"/>
        </w:rPr>
        <w:t>records</w:t>
      </w:r>
      <w:r>
        <w:rPr>
          <w:color w:val="231F20"/>
          <w:spacing w:val="-13"/>
        </w:rPr>
        <w:t xml:space="preserve"> </w:t>
      </w:r>
      <w:r>
        <w:rPr>
          <w:color w:val="231F20"/>
        </w:rPr>
        <w:t>will</w:t>
      </w:r>
      <w:r>
        <w:rPr>
          <w:color w:val="231F20"/>
          <w:spacing w:val="-13"/>
        </w:rPr>
        <w:t xml:space="preserve"> </w:t>
      </w:r>
      <w:r>
        <w:rPr>
          <w:color w:val="231F20"/>
        </w:rPr>
        <w:t>be</w:t>
      </w:r>
      <w:r>
        <w:rPr>
          <w:color w:val="231F20"/>
          <w:spacing w:val="-13"/>
        </w:rPr>
        <w:t xml:space="preserve"> </w:t>
      </w:r>
      <w:r>
        <w:rPr>
          <w:color w:val="231F20"/>
        </w:rPr>
        <w:t>electronically</w:t>
      </w:r>
      <w:r>
        <w:rPr>
          <w:color w:val="231F20"/>
          <w:spacing w:val="-13"/>
        </w:rPr>
        <w:t xml:space="preserve"> </w:t>
      </w:r>
      <w:r>
        <w:rPr>
          <w:color w:val="231F20"/>
        </w:rPr>
        <w:t>saved</w:t>
      </w:r>
      <w:r>
        <w:rPr>
          <w:color w:val="231F20"/>
          <w:spacing w:val="-13"/>
        </w:rPr>
        <w:t xml:space="preserve"> </w:t>
      </w:r>
      <w:r>
        <w:rPr>
          <w:color w:val="231F20"/>
        </w:rPr>
        <w:t>on</w:t>
      </w:r>
      <w:r>
        <w:rPr>
          <w:color w:val="231F20"/>
          <w:spacing w:val="-13"/>
        </w:rPr>
        <w:t xml:space="preserve"> </w:t>
      </w:r>
      <w:r>
        <w:rPr>
          <w:color w:val="231F20"/>
        </w:rPr>
        <w:t>a</w:t>
      </w:r>
      <w:r>
        <w:rPr>
          <w:color w:val="231F20"/>
          <w:spacing w:val="-13"/>
        </w:rPr>
        <w:t xml:space="preserve"> </w:t>
      </w:r>
      <w:r>
        <w:rPr>
          <w:color w:val="231F20"/>
        </w:rPr>
        <w:t>computer.</w:t>
      </w:r>
      <w:r>
        <w:rPr>
          <w:color w:val="231F20"/>
          <w:spacing w:val="-10"/>
        </w:rPr>
        <w:t xml:space="preserve"> </w:t>
      </w:r>
      <w:r>
        <w:rPr>
          <w:color w:val="231F20"/>
        </w:rPr>
        <w:t>The</w:t>
      </w:r>
      <w:r>
        <w:rPr>
          <w:color w:val="231F20"/>
          <w:spacing w:val="-6"/>
        </w:rPr>
        <w:t xml:space="preserve"> </w:t>
      </w:r>
      <w:r>
        <w:rPr>
          <w:color w:val="231F20"/>
        </w:rPr>
        <w:t>accuracy</w:t>
      </w:r>
      <w:r>
        <w:rPr>
          <w:color w:val="231F20"/>
          <w:spacing w:val="-6"/>
        </w:rPr>
        <w:t xml:space="preserve"> </w:t>
      </w:r>
      <w:r>
        <w:rPr>
          <w:color w:val="231F20"/>
        </w:rPr>
        <w:t>of</w:t>
      </w:r>
      <w:r>
        <w:rPr>
          <w:color w:val="231F20"/>
          <w:spacing w:val="-6"/>
        </w:rPr>
        <w:t xml:space="preserve"> </w:t>
      </w:r>
      <w:r>
        <w:rPr>
          <w:color w:val="231F20"/>
        </w:rPr>
        <w:t>data</w:t>
      </w:r>
      <w:r>
        <w:rPr>
          <w:color w:val="231F20"/>
          <w:spacing w:val="-6"/>
        </w:rPr>
        <w:t xml:space="preserve"> </w:t>
      </w:r>
      <w:r>
        <w:rPr>
          <w:color w:val="231F20"/>
        </w:rPr>
        <w:t>recorded</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case</w:t>
      </w:r>
      <w:r>
        <w:rPr>
          <w:color w:val="231F20"/>
          <w:spacing w:val="-6"/>
        </w:rPr>
        <w:t xml:space="preserve"> </w:t>
      </w:r>
      <w:r>
        <w:rPr>
          <w:color w:val="231F20"/>
        </w:rPr>
        <w:t>data</w:t>
      </w:r>
      <w:r>
        <w:rPr>
          <w:color w:val="231F20"/>
          <w:spacing w:val="-6"/>
        </w:rPr>
        <w:t xml:space="preserve"> </w:t>
      </w:r>
      <w:r>
        <w:rPr>
          <w:color w:val="231F20"/>
          <w:spacing w:val="-4"/>
        </w:rPr>
        <w:t xml:space="preserve">form </w:t>
      </w:r>
      <w:r>
        <w:rPr>
          <w:color w:val="231F20"/>
        </w:rPr>
        <w:t>will be verified. Any changes or corrections will retain a clear</w:t>
      </w:r>
      <w:r>
        <w:rPr>
          <w:color w:val="231F20"/>
          <w:spacing w:val="-19"/>
        </w:rPr>
        <w:t xml:space="preserve"> </w:t>
      </w:r>
      <w:r>
        <w:rPr>
          <w:color w:val="231F20"/>
        </w:rPr>
        <w:t>record</w:t>
      </w:r>
      <w:r>
        <w:rPr>
          <w:color w:val="231F20"/>
          <w:spacing w:val="-18"/>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original.</w:t>
      </w:r>
      <w:r>
        <w:rPr>
          <w:color w:val="231F20"/>
          <w:spacing w:val="-22"/>
        </w:rPr>
        <w:t xml:space="preserve"> </w:t>
      </w:r>
      <w:r>
        <w:rPr>
          <w:color w:val="231F20"/>
        </w:rPr>
        <w:t>The</w:t>
      </w:r>
      <w:r>
        <w:rPr>
          <w:color w:val="231F20"/>
          <w:spacing w:val="-18"/>
        </w:rPr>
        <w:t xml:space="preserve"> </w:t>
      </w:r>
      <w:r>
        <w:rPr>
          <w:color w:val="231F20"/>
        </w:rPr>
        <w:t>investigator</w:t>
      </w:r>
      <w:r>
        <w:rPr>
          <w:color w:val="231F20"/>
          <w:spacing w:val="-18"/>
        </w:rPr>
        <w:t xml:space="preserve"> </w:t>
      </w:r>
      <w:r>
        <w:rPr>
          <w:color w:val="231F20"/>
        </w:rPr>
        <w:t>will</w:t>
      </w:r>
      <w:r>
        <w:rPr>
          <w:color w:val="231F20"/>
          <w:spacing w:val="-19"/>
        </w:rPr>
        <w:t xml:space="preserve"> </w:t>
      </w:r>
      <w:r>
        <w:rPr>
          <w:color w:val="231F20"/>
        </w:rPr>
        <w:t>record</w:t>
      </w:r>
      <w:r>
        <w:rPr>
          <w:color w:val="231F20"/>
          <w:spacing w:val="-18"/>
        </w:rPr>
        <w:t xml:space="preserve"> </w:t>
      </w:r>
      <w:r>
        <w:rPr>
          <w:color w:val="231F20"/>
        </w:rPr>
        <w:t>the date of changes or corrections, sign his or her name, and explain</w:t>
      </w:r>
      <w:r>
        <w:rPr>
          <w:color w:val="231F20"/>
          <w:spacing w:val="-20"/>
        </w:rPr>
        <w:t xml:space="preserve"> </w:t>
      </w:r>
      <w:r>
        <w:rPr>
          <w:color w:val="231F20"/>
        </w:rPr>
        <w:t>the</w:t>
      </w:r>
      <w:r>
        <w:rPr>
          <w:color w:val="231F20"/>
          <w:spacing w:val="-20"/>
        </w:rPr>
        <w:t xml:space="preserve"> </w:t>
      </w:r>
      <w:r>
        <w:rPr>
          <w:color w:val="231F20"/>
        </w:rPr>
        <w:t>reasons</w:t>
      </w:r>
      <w:r>
        <w:rPr>
          <w:color w:val="231F20"/>
          <w:spacing w:val="-19"/>
        </w:rPr>
        <w:t xml:space="preserve"> </w:t>
      </w:r>
      <w:r>
        <w:rPr>
          <w:color w:val="231F20"/>
        </w:rPr>
        <w:t>for</w:t>
      </w:r>
      <w:r>
        <w:rPr>
          <w:color w:val="231F20"/>
          <w:spacing w:val="-20"/>
        </w:rPr>
        <w:t xml:space="preserve"> </w:t>
      </w:r>
      <w:r>
        <w:rPr>
          <w:color w:val="231F20"/>
        </w:rPr>
        <w:t>the</w:t>
      </w:r>
      <w:r>
        <w:rPr>
          <w:color w:val="231F20"/>
          <w:spacing w:val="-19"/>
        </w:rPr>
        <w:t xml:space="preserve"> </w:t>
      </w:r>
      <w:r>
        <w:rPr>
          <w:color w:val="231F20"/>
        </w:rPr>
        <w:t>change</w:t>
      </w:r>
      <w:r>
        <w:rPr>
          <w:color w:val="231F20"/>
          <w:spacing w:val="-20"/>
        </w:rPr>
        <w:t xml:space="preserve"> </w:t>
      </w:r>
      <w:r>
        <w:rPr>
          <w:color w:val="231F20"/>
        </w:rPr>
        <w:t>(if</w:t>
      </w:r>
      <w:r>
        <w:rPr>
          <w:color w:val="231F20"/>
          <w:spacing w:val="-19"/>
        </w:rPr>
        <w:t xml:space="preserve"> </w:t>
      </w:r>
      <w:r>
        <w:rPr>
          <w:color w:val="231F20"/>
        </w:rPr>
        <w:t>necessary).</w:t>
      </w:r>
      <w:r>
        <w:rPr>
          <w:color w:val="231F20"/>
          <w:spacing w:val="-23"/>
        </w:rPr>
        <w:t xml:space="preserve"> </w:t>
      </w:r>
      <w:r>
        <w:rPr>
          <w:color w:val="231F20"/>
        </w:rPr>
        <w:t>The</w:t>
      </w:r>
      <w:r>
        <w:rPr>
          <w:color w:val="231F20"/>
          <w:spacing w:val="-20"/>
        </w:rPr>
        <w:t xml:space="preserve"> </w:t>
      </w:r>
      <w:r>
        <w:rPr>
          <w:color w:val="231F20"/>
        </w:rPr>
        <w:t>medical</w:t>
      </w:r>
      <w:r>
        <w:rPr>
          <w:color w:val="231F20"/>
          <w:spacing w:val="-8"/>
        </w:rPr>
        <w:t xml:space="preserve"> </w:t>
      </w:r>
      <w:r>
        <w:rPr>
          <w:color w:val="231F20"/>
        </w:rPr>
        <w:t>records</w:t>
      </w:r>
      <w:r>
        <w:rPr>
          <w:color w:val="231F20"/>
          <w:spacing w:val="-7"/>
        </w:rPr>
        <w:t xml:space="preserve"> </w:t>
      </w:r>
      <w:r>
        <w:rPr>
          <w:color w:val="231F20"/>
        </w:rPr>
        <w:t>along</w:t>
      </w:r>
      <w:r>
        <w:rPr>
          <w:color w:val="231F20"/>
          <w:spacing w:val="-8"/>
        </w:rPr>
        <w:t xml:space="preserve"> </w:t>
      </w:r>
      <w:r>
        <w:rPr>
          <w:color w:val="231F20"/>
        </w:rPr>
        <w:t>with</w:t>
      </w:r>
      <w:r>
        <w:rPr>
          <w:color w:val="231F20"/>
          <w:spacing w:val="-7"/>
        </w:rPr>
        <w:t xml:space="preserve"> </w:t>
      </w:r>
      <w:r>
        <w:rPr>
          <w:color w:val="231F20"/>
        </w:rPr>
        <w:t>any</w:t>
      </w:r>
      <w:r>
        <w:rPr>
          <w:color w:val="231F20"/>
          <w:spacing w:val="-7"/>
        </w:rPr>
        <w:t xml:space="preserve"> </w:t>
      </w:r>
      <w:r>
        <w:rPr>
          <w:color w:val="231F20"/>
        </w:rPr>
        <w:t>changes,</w:t>
      </w:r>
      <w:r>
        <w:rPr>
          <w:color w:val="231F20"/>
          <w:spacing w:val="-8"/>
        </w:rPr>
        <w:t xml:space="preserve"> </w:t>
      </w:r>
      <w:r>
        <w:rPr>
          <w:color w:val="231F20"/>
        </w:rPr>
        <w:t>deletions,</w:t>
      </w:r>
      <w:r>
        <w:rPr>
          <w:color w:val="231F20"/>
          <w:spacing w:val="-7"/>
        </w:rPr>
        <w:t xml:space="preserve"> </w:t>
      </w:r>
      <w:r>
        <w:rPr>
          <w:color w:val="231F20"/>
        </w:rPr>
        <w:t>or</w:t>
      </w:r>
      <w:r>
        <w:rPr>
          <w:color w:val="231F20"/>
          <w:spacing w:val="-7"/>
        </w:rPr>
        <w:t xml:space="preserve"> </w:t>
      </w:r>
      <w:r>
        <w:rPr>
          <w:color w:val="231F20"/>
        </w:rPr>
        <w:t>additions will be electronically saved on a computer. The audit trail will</w:t>
      </w:r>
      <w:r>
        <w:rPr>
          <w:color w:val="231F20"/>
          <w:spacing w:val="-8"/>
        </w:rPr>
        <w:t xml:space="preserve"> </w:t>
      </w:r>
      <w:r>
        <w:rPr>
          <w:color w:val="231F20"/>
        </w:rPr>
        <w:t>be</w:t>
      </w:r>
      <w:r>
        <w:rPr>
          <w:color w:val="231F20"/>
          <w:spacing w:val="-7"/>
        </w:rPr>
        <w:t xml:space="preserve"> </w:t>
      </w:r>
      <w:r>
        <w:rPr>
          <w:color w:val="231F20"/>
        </w:rPr>
        <w:t>set</w:t>
      </w:r>
      <w:r>
        <w:rPr>
          <w:color w:val="231F20"/>
          <w:spacing w:val="-7"/>
        </w:rPr>
        <w:t xml:space="preserve"> </w:t>
      </w:r>
      <w:r>
        <w:rPr>
          <w:color w:val="231F20"/>
        </w:rPr>
        <w:t>so</w:t>
      </w:r>
      <w:r>
        <w:rPr>
          <w:color w:val="231F20"/>
          <w:spacing w:val="-7"/>
        </w:rPr>
        <w:t xml:space="preserve"> </w:t>
      </w:r>
      <w:r>
        <w:rPr>
          <w:color w:val="231F20"/>
        </w:rPr>
        <w:t>that</w:t>
      </w:r>
      <w:r>
        <w:rPr>
          <w:color w:val="231F20"/>
          <w:spacing w:val="-7"/>
        </w:rPr>
        <w:t xml:space="preserve"> </w:t>
      </w:r>
      <w:r>
        <w:rPr>
          <w:color w:val="231F20"/>
        </w:rPr>
        <w:t>it</w:t>
      </w:r>
      <w:r>
        <w:rPr>
          <w:color w:val="231F20"/>
          <w:spacing w:val="-7"/>
        </w:rPr>
        <w:t xml:space="preserve"> </w:t>
      </w:r>
      <w:r>
        <w:rPr>
          <w:color w:val="231F20"/>
        </w:rPr>
        <w:t>is</w:t>
      </w:r>
      <w:r>
        <w:rPr>
          <w:color w:val="231F20"/>
          <w:spacing w:val="-6"/>
        </w:rPr>
        <w:t xml:space="preserve"> </w:t>
      </w:r>
      <w:r>
        <w:rPr>
          <w:color w:val="231F20"/>
        </w:rPr>
        <w:t>protected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system</w:t>
      </w:r>
      <w:r>
        <w:rPr>
          <w:color w:val="231F20"/>
          <w:spacing w:val="-7"/>
        </w:rPr>
        <w:t xml:space="preserve"> </w:t>
      </w:r>
      <w:r>
        <w:rPr>
          <w:color w:val="231F20"/>
        </w:rPr>
        <w:t>and</w:t>
      </w:r>
      <w:r>
        <w:rPr>
          <w:color w:val="231F20"/>
          <w:spacing w:val="-6"/>
        </w:rPr>
        <w:t xml:space="preserve"> </w:t>
      </w:r>
      <w:r>
        <w:rPr>
          <w:color w:val="231F20"/>
        </w:rPr>
        <w:t>will</w:t>
      </w:r>
      <w:r>
        <w:rPr>
          <w:color w:val="231F20"/>
          <w:spacing w:val="-7"/>
        </w:rPr>
        <w:t xml:space="preserve"> </w:t>
      </w:r>
      <w:r>
        <w:rPr>
          <w:color w:val="231F20"/>
        </w:rPr>
        <w:t>not be able to be modified or edited by anyone. The clinical data management system will have authority</w:t>
      </w:r>
      <w:r>
        <w:rPr>
          <w:color w:val="231F20"/>
          <w:spacing w:val="-27"/>
        </w:rPr>
        <w:t xml:space="preserve"> </w:t>
      </w:r>
      <w:r>
        <w:rPr>
          <w:color w:val="231F20"/>
        </w:rPr>
        <w:t>management such that only authorized personnel will be allowed to operate it. The use of an electronic signature is a common means</w:t>
      </w:r>
      <w:r>
        <w:rPr>
          <w:color w:val="231F20"/>
          <w:spacing w:val="-8"/>
        </w:rPr>
        <w:t xml:space="preserve"> </w:t>
      </w:r>
      <w:r>
        <w:rPr>
          <w:color w:val="231F20"/>
        </w:rPr>
        <w:t>of</w:t>
      </w:r>
      <w:r>
        <w:rPr>
          <w:color w:val="231F20"/>
          <w:spacing w:val="-8"/>
        </w:rPr>
        <w:t xml:space="preserve"> </w:t>
      </w:r>
      <w:r>
        <w:rPr>
          <w:color w:val="231F20"/>
        </w:rPr>
        <w:t>managing</w:t>
      </w:r>
      <w:r>
        <w:rPr>
          <w:color w:val="231F20"/>
          <w:spacing w:val="-7"/>
        </w:rPr>
        <w:t xml:space="preserve"> </w:t>
      </w:r>
      <w:r>
        <w:rPr>
          <w:color w:val="231F20"/>
        </w:rPr>
        <w:t>electronic</w:t>
      </w:r>
      <w:r>
        <w:rPr>
          <w:color w:val="231F20"/>
          <w:spacing w:val="-8"/>
        </w:rPr>
        <w:t xml:space="preserve"> </w:t>
      </w:r>
      <w:r>
        <w:rPr>
          <w:color w:val="231F20"/>
        </w:rPr>
        <w:t>management</w:t>
      </w:r>
      <w:r>
        <w:rPr>
          <w:color w:val="231F20"/>
          <w:spacing w:val="-8"/>
        </w:rPr>
        <w:t xml:space="preserve"> </w:t>
      </w:r>
      <w:r>
        <w:rPr>
          <w:color w:val="231F20"/>
        </w:rPr>
        <w:t>systems.</w:t>
      </w:r>
      <w:r>
        <w:rPr>
          <w:color w:val="231F20"/>
          <w:spacing w:val="-8"/>
        </w:rPr>
        <w:t xml:space="preserve"> </w:t>
      </w:r>
      <w:r>
        <w:rPr>
          <w:color w:val="231F20"/>
        </w:rPr>
        <w:t>Only authorized</w:t>
      </w:r>
      <w:r>
        <w:rPr>
          <w:color w:val="231F20"/>
          <w:spacing w:val="-14"/>
        </w:rPr>
        <w:t xml:space="preserve"> </w:t>
      </w:r>
      <w:r>
        <w:rPr>
          <w:color w:val="231F20"/>
        </w:rPr>
        <w:t>personnel</w:t>
      </w:r>
      <w:r>
        <w:rPr>
          <w:color w:val="231F20"/>
          <w:spacing w:val="-14"/>
        </w:rPr>
        <w:t xml:space="preserve"> </w:t>
      </w:r>
      <w:r>
        <w:rPr>
          <w:color w:val="231F20"/>
        </w:rPr>
        <w:t>can</w:t>
      </w:r>
      <w:r>
        <w:rPr>
          <w:color w:val="231F20"/>
          <w:spacing w:val="-13"/>
        </w:rPr>
        <w:t xml:space="preserve"> </w:t>
      </w:r>
      <w:r>
        <w:rPr>
          <w:color w:val="231F20"/>
        </w:rPr>
        <w:t>log</w:t>
      </w:r>
      <w:r>
        <w:rPr>
          <w:color w:val="231F20"/>
          <w:spacing w:val="-14"/>
        </w:rPr>
        <w:t xml:space="preserve"> </w:t>
      </w:r>
      <w:r>
        <w:rPr>
          <w:color w:val="231F20"/>
        </w:rPr>
        <w:t>onto</w:t>
      </w:r>
      <w:r>
        <w:rPr>
          <w:color w:val="231F20"/>
          <w:spacing w:val="-13"/>
        </w:rPr>
        <w:t xml:space="preserve"> </w:t>
      </w:r>
      <w:r>
        <w:rPr>
          <w:color w:val="231F20"/>
        </w:rPr>
        <w:t>the</w:t>
      </w:r>
      <w:r>
        <w:rPr>
          <w:color w:val="231F20"/>
          <w:spacing w:val="-14"/>
        </w:rPr>
        <w:t xml:space="preserve"> </w:t>
      </w:r>
      <w:r>
        <w:rPr>
          <w:color w:val="231F20"/>
        </w:rPr>
        <w:t>system</w:t>
      </w:r>
      <w:r>
        <w:rPr>
          <w:color w:val="231F20"/>
          <w:spacing w:val="-13"/>
        </w:rPr>
        <w:t xml:space="preserve"> </w:t>
      </w:r>
      <w:r>
        <w:rPr>
          <w:color w:val="231F20"/>
        </w:rPr>
        <w:t>for</w:t>
      </w:r>
      <w:r>
        <w:rPr>
          <w:color w:val="231F20"/>
          <w:spacing w:val="-14"/>
        </w:rPr>
        <w:t xml:space="preserve"> </w:t>
      </w:r>
      <w:r>
        <w:rPr>
          <w:color w:val="231F20"/>
        </w:rPr>
        <w:t>data</w:t>
      </w:r>
      <w:r>
        <w:rPr>
          <w:color w:val="231F20"/>
          <w:spacing w:val="-13"/>
        </w:rPr>
        <w:t xml:space="preserve"> </w:t>
      </w:r>
      <w:r>
        <w:rPr>
          <w:color w:val="231F20"/>
        </w:rPr>
        <w:t xml:space="preserve">entry or modification or to view the data, preventing </w:t>
      </w:r>
      <w:r>
        <w:rPr>
          <w:color w:val="231F20"/>
          <w:spacing w:val="-3"/>
        </w:rPr>
        <w:t>unauthor</w:t>
      </w:r>
      <w:r>
        <w:rPr>
          <w:color w:val="231F20"/>
        </w:rPr>
        <w:t>ized</w:t>
      </w:r>
      <w:r>
        <w:rPr>
          <w:color w:val="231F20"/>
          <w:spacing w:val="-14"/>
        </w:rPr>
        <w:t xml:space="preserve"> </w:t>
      </w:r>
      <w:r>
        <w:rPr>
          <w:color w:val="231F20"/>
        </w:rPr>
        <w:t>logins</w:t>
      </w:r>
      <w:r>
        <w:rPr>
          <w:color w:val="231F20"/>
          <w:spacing w:val="-13"/>
        </w:rPr>
        <w:t xml:space="preserve"> </w:t>
      </w:r>
      <w:r>
        <w:rPr>
          <w:color w:val="231F20"/>
        </w:rPr>
        <w:t>and</w:t>
      </w:r>
      <w:r>
        <w:rPr>
          <w:color w:val="231F20"/>
          <w:spacing w:val="-13"/>
        </w:rPr>
        <w:t xml:space="preserve"> </w:t>
      </w:r>
      <w:r>
        <w:rPr>
          <w:color w:val="231F20"/>
        </w:rPr>
        <w:t>access</w:t>
      </w:r>
      <w:r>
        <w:rPr>
          <w:color w:val="231F20"/>
          <w:spacing w:val="-13"/>
        </w:rPr>
        <w:t xml:space="preserve"> </w:t>
      </w:r>
      <w:r>
        <w:rPr>
          <w:color w:val="231F20"/>
        </w:rPr>
        <w:t>to</w:t>
      </w:r>
      <w:r>
        <w:rPr>
          <w:color w:val="231F20"/>
          <w:spacing w:val="-13"/>
        </w:rPr>
        <w:t xml:space="preserve"> </w:t>
      </w:r>
      <w:r>
        <w:rPr>
          <w:color w:val="231F20"/>
        </w:rPr>
        <w:t>any</w:t>
      </w:r>
      <w:r>
        <w:rPr>
          <w:color w:val="231F20"/>
          <w:spacing w:val="-13"/>
        </w:rPr>
        <w:t xml:space="preserve"> </w:t>
      </w:r>
      <w:r>
        <w:rPr>
          <w:color w:val="231F20"/>
        </w:rPr>
        <w:t>clinical</w:t>
      </w:r>
      <w:r>
        <w:rPr>
          <w:color w:val="231F20"/>
          <w:spacing w:val="-13"/>
        </w:rPr>
        <w:t xml:space="preserve"> </w:t>
      </w:r>
      <w:r>
        <w:rPr>
          <w:color w:val="231F20"/>
        </w:rPr>
        <w:t>data</w:t>
      </w:r>
      <w:r>
        <w:rPr>
          <w:color w:val="231F20"/>
          <w:spacing w:val="-13"/>
        </w:rPr>
        <w:t xml:space="preserve"> </w:t>
      </w:r>
      <w:r>
        <w:rPr>
          <w:color w:val="231F20"/>
        </w:rPr>
        <w:t>so</w:t>
      </w:r>
      <w:r>
        <w:rPr>
          <w:color w:val="231F20"/>
          <w:spacing w:val="-13"/>
        </w:rPr>
        <w:t xml:space="preserve"> </w:t>
      </w:r>
      <w:r>
        <w:rPr>
          <w:color w:val="231F20"/>
        </w:rPr>
        <w:t>that</w:t>
      </w:r>
      <w:r>
        <w:rPr>
          <w:color w:val="231F20"/>
          <w:spacing w:val="-13"/>
        </w:rPr>
        <w:t xml:space="preserve"> </w:t>
      </w:r>
      <w:r>
        <w:rPr>
          <w:color w:val="231F20"/>
        </w:rPr>
        <w:t>it</w:t>
      </w:r>
      <w:r>
        <w:rPr>
          <w:color w:val="231F20"/>
          <w:spacing w:val="-13"/>
        </w:rPr>
        <w:t xml:space="preserve"> </w:t>
      </w:r>
      <w:r>
        <w:rPr>
          <w:color w:val="231F20"/>
        </w:rPr>
        <w:t>remains secure</w:t>
      </w:r>
      <w:r>
        <w:rPr>
          <w:color w:val="231F20"/>
          <w:spacing w:val="-20"/>
        </w:rPr>
        <w:t xml:space="preserve"> </w:t>
      </w:r>
      <w:r>
        <w:rPr>
          <w:color w:val="231F20"/>
        </w:rPr>
        <w:t>and</w:t>
      </w:r>
      <w:r>
        <w:rPr>
          <w:color w:val="231F20"/>
          <w:spacing w:val="-20"/>
        </w:rPr>
        <w:t xml:space="preserve"> </w:t>
      </w:r>
      <w:r>
        <w:rPr>
          <w:color w:val="231F20"/>
        </w:rPr>
        <w:t>confidential.</w:t>
      </w:r>
      <w:r>
        <w:rPr>
          <w:color w:val="231F20"/>
          <w:spacing w:val="-20"/>
        </w:rPr>
        <w:t xml:space="preserve"> </w:t>
      </w:r>
      <w:r>
        <w:rPr>
          <w:color w:val="231F20"/>
        </w:rPr>
        <w:t>In</w:t>
      </w:r>
      <w:r>
        <w:rPr>
          <w:color w:val="231F20"/>
          <w:spacing w:val="-20"/>
        </w:rPr>
        <w:t xml:space="preserve"> </w:t>
      </w:r>
      <w:r>
        <w:rPr>
          <w:color w:val="231F20"/>
        </w:rPr>
        <w:t>accordance</w:t>
      </w:r>
      <w:r>
        <w:rPr>
          <w:color w:val="231F20"/>
          <w:spacing w:val="-20"/>
        </w:rPr>
        <w:t xml:space="preserve"> </w:t>
      </w:r>
      <w:r>
        <w:rPr>
          <w:color w:val="231F20"/>
        </w:rPr>
        <w:t>with</w:t>
      </w:r>
      <w:r>
        <w:rPr>
          <w:color w:val="231F20"/>
          <w:spacing w:val="-20"/>
        </w:rPr>
        <w:t xml:space="preserve"> </w:t>
      </w:r>
      <w:r>
        <w:rPr>
          <w:color w:val="231F20"/>
        </w:rPr>
        <w:t>the</w:t>
      </w:r>
      <w:r>
        <w:rPr>
          <w:color w:val="231F20"/>
          <w:spacing w:val="-20"/>
        </w:rPr>
        <w:t xml:space="preserve"> </w:t>
      </w:r>
      <w:r>
        <w:rPr>
          <w:color w:val="231F20"/>
        </w:rPr>
        <w:t>China</w:t>
      </w:r>
      <w:r>
        <w:rPr>
          <w:color w:val="231F20"/>
          <w:spacing w:val="-20"/>
        </w:rPr>
        <w:t xml:space="preserve"> </w:t>
      </w:r>
      <w:r>
        <w:rPr>
          <w:color w:val="231F20"/>
        </w:rPr>
        <w:t>Drug Clinical</w:t>
      </w:r>
      <w:r>
        <w:rPr>
          <w:color w:val="231F20"/>
          <w:spacing w:val="-31"/>
        </w:rPr>
        <w:t xml:space="preserve"> </w:t>
      </w:r>
      <w:r>
        <w:rPr>
          <w:color w:val="231F20"/>
          <w:spacing w:val="-3"/>
        </w:rPr>
        <w:t>Trial</w:t>
      </w:r>
      <w:r>
        <w:rPr>
          <w:color w:val="231F20"/>
          <w:spacing w:val="-28"/>
        </w:rPr>
        <w:t xml:space="preserve"> </w:t>
      </w:r>
      <w:r>
        <w:rPr>
          <w:color w:val="231F20"/>
        </w:rPr>
        <w:t>Management</w:t>
      </w:r>
      <w:r>
        <w:rPr>
          <w:color w:val="231F20"/>
          <w:spacing w:val="-28"/>
        </w:rPr>
        <w:t xml:space="preserve"> </w:t>
      </w:r>
      <w:r>
        <w:rPr>
          <w:color w:val="231F20"/>
        </w:rPr>
        <w:t>Specification,</w:t>
      </w:r>
      <w:r>
        <w:rPr>
          <w:color w:val="231F20"/>
          <w:spacing w:val="-27"/>
        </w:rPr>
        <w:t xml:space="preserve"> </w:t>
      </w:r>
      <w:r>
        <w:rPr>
          <w:color w:val="231F20"/>
        </w:rPr>
        <w:t>all</w:t>
      </w:r>
      <w:r>
        <w:rPr>
          <w:color w:val="231F20"/>
          <w:spacing w:val="-28"/>
        </w:rPr>
        <w:t xml:space="preserve"> </w:t>
      </w:r>
      <w:r>
        <w:rPr>
          <w:color w:val="231F20"/>
        </w:rPr>
        <w:t>records</w:t>
      </w:r>
      <w:r>
        <w:rPr>
          <w:color w:val="231F20"/>
          <w:spacing w:val="-28"/>
        </w:rPr>
        <w:t xml:space="preserve"> </w:t>
      </w:r>
      <w:r>
        <w:rPr>
          <w:color w:val="231F20"/>
        </w:rPr>
        <w:t>will</w:t>
      </w:r>
      <w:r>
        <w:rPr>
          <w:color w:val="231F20"/>
          <w:spacing w:val="-28"/>
        </w:rPr>
        <w:t xml:space="preserve"> </w:t>
      </w:r>
      <w:r>
        <w:rPr>
          <w:color w:val="231F20"/>
        </w:rPr>
        <w:t>be</w:t>
      </w:r>
      <w:r>
        <w:rPr>
          <w:rFonts w:hint="eastAsia" w:eastAsia="宋体"/>
          <w:color w:val="231F20"/>
          <w:lang w:val="en-US" w:eastAsia="zh-CN"/>
        </w:rPr>
        <w:t xml:space="preserve"> </w:t>
      </w:r>
      <w:r>
        <w:rPr>
          <w:color w:val="231F20"/>
        </w:rPr>
        <w:t>preserved for at least 5 years after completion of the trial.</w:t>
      </w:r>
    </w:p>
    <w:p>
      <w:pPr>
        <w:pStyle w:val="5"/>
        <w:spacing w:before="10"/>
        <w:rPr>
          <w:sz w:val="23"/>
        </w:rPr>
      </w:pPr>
    </w:p>
    <w:p>
      <w:pPr>
        <w:pStyle w:val="3"/>
        <w:spacing w:before="1"/>
        <w:jc w:val="both"/>
      </w:pPr>
      <w:r>
        <w:rPr>
          <w:color w:val="32327F"/>
        </w:rPr>
        <w:t>Statistical analysis</w:t>
      </w:r>
    </w:p>
    <w:p>
      <w:pPr>
        <w:pStyle w:val="5"/>
        <w:spacing w:line="239" w:lineRule="exact"/>
        <w:ind w:left="117"/>
        <w:rPr>
          <w:rFonts w:hint="eastAsia" w:eastAsia="宋体"/>
          <w:color w:val="231F20"/>
          <w:spacing w:val="3"/>
          <w:lang w:val="en-US" w:eastAsia="zh-CN"/>
        </w:rPr>
      </w:pPr>
      <w:r>
        <w:rPr>
          <w:rFonts w:hint="eastAsia"/>
          <w:color w:val="231F20"/>
          <w:spacing w:val="3"/>
        </w:rPr>
        <w:t>For sample size estimation, we assumed that the Atorvastain group had a 48% rate of good GOS compared with the placebo group with 46% based on our preliminary trial, that 290 patients would be required (80% power and 2-sided,α=0.05, a 10% loss to follow-up). We decided to enroll 300 patients. A research nurse entered all baseline and outcome data in the study database, data were collected on handwritten forms and archived in a password-protected electronic database. Treatment effect was tested by logistic regression adjusted for Hunt-Hess grade (I, II, ≥III) with the Wald χ2 test used to determine treatment effect. We described the incidence and relative risk reduction of dichotomous variables for the atorvastatin-treated group relative to the placebo group, with corresponding 95% CIs. The first exploratory end point was the GOS. For the GOS endpoint, if no GOS score was available, a score of 4 (lower moderate disability) was assigned when there was no clinical evidence of prior neurological impairment, and a score of 3 (lower severe disability) assigned in any other situation when a patient was alive at 6 months. Demographics and safety data are reported as descriptive statistics (means, standard deviation). Categorical variables were analyzed with the χ2 test, continuity correction χ2 test or likelihood ratio χ2 test. Numeric variables were analyzed by use of an unpaired t test or Mann-Whitney u test. The difference (and 95% CI for the difference) between two medians was calculated with the Hodges-Lehmann estimator.</w:t>
      </w:r>
      <w:r>
        <w:rPr>
          <w:rFonts w:hint="eastAsia" w:eastAsia="宋体"/>
          <w:color w:val="231F20"/>
          <w:spacing w:val="3"/>
          <w:lang w:val="en-US" w:eastAsia="zh-CN"/>
        </w:rPr>
        <w:t xml:space="preserve"> As our previous study and related research had confirmed that Hunt-Hess, Age, Aneurysm size, and Clot size impact outcome. So, We want to know that it would also be interesting to know whether treatment measures work in certain subgroups in this trial. We revised and add the related message in this manuscript. Thank you again for your advice.</w:t>
      </w:r>
    </w:p>
    <w:p>
      <w:pPr>
        <w:pStyle w:val="5"/>
        <w:spacing w:line="239" w:lineRule="exact"/>
        <w:ind w:left="117"/>
        <w:rPr>
          <w:rFonts w:hint="eastAsia"/>
          <w:color w:val="231F20"/>
          <w:spacing w:val="3"/>
        </w:rPr>
      </w:pPr>
      <w:r>
        <w:rPr>
          <w:rFonts w:hint="eastAsia"/>
          <w:color w:val="231F20"/>
          <w:spacing w:val="3"/>
        </w:rPr>
        <w:t>We analyzed outcome data and safety in the intention-to-treat population. We also did per-protocol analysis for the primary endpoint. We did not do an interim analysis. Statistical analyses were done on SPSS 14.0 software with two-tailed tests wherever appropriate and P values less than 0.05 were considered to be of statistical significance. The Clinical Research Ethics Committee from Anhui Medical University, Wuxi Clinical College (904th Hospital of PLA) was involved in overseeing the data. The study is registered with www.chictr.org.cn, number ChiCTR-IPR-14005395.</w:t>
      </w:r>
    </w:p>
    <w:p>
      <w:pPr>
        <w:pStyle w:val="5"/>
        <w:spacing w:line="239" w:lineRule="exact"/>
        <w:ind w:left="117"/>
        <w:rPr>
          <w:rFonts w:hint="eastAsia"/>
          <w:color w:val="231F20"/>
          <w:spacing w:val="3"/>
        </w:rPr>
      </w:pPr>
    </w:p>
    <w:p>
      <w:pPr>
        <w:pStyle w:val="3"/>
        <w:jc w:val="both"/>
      </w:pPr>
      <w:r>
        <w:rPr>
          <w:color w:val="32327F"/>
        </w:rPr>
        <w:t>Trial quality assurance and control</w:t>
      </w:r>
    </w:p>
    <w:p>
      <w:pPr>
        <w:pStyle w:val="5"/>
        <w:spacing w:before="8" w:line="259" w:lineRule="auto"/>
        <w:ind w:left="117" w:right="111"/>
        <w:jc w:val="both"/>
      </w:pPr>
      <w:r>
        <w:rPr>
          <w:color w:val="231F20"/>
        </w:rPr>
        <w:t>JHC, one of the authors, will be responsible for quality assurance and control. A clinical research associate as- signed by the sponsor will visit the hospital regularly to ensure that the protocol has been strictly followed and that all data are correctly recorded. The researchers will implement</w:t>
      </w:r>
      <w:r>
        <w:rPr>
          <w:color w:val="231F20"/>
          <w:spacing w:val="-13"/>
        </w:rPr>
        <w:t xml:space="preserve"> </w:t>
      </w:r>
      <w:r>
        <w:rPr>
          <w:color w:val="231F20"/>
        </w:rPr>
        <w:t>standard</w:t>
      </w:r>
      <w:r>
        <w:rPr>
          <w:color w:val="231F20"/>
          <w:spacing w:val="-13"/>
        </w:rPr>
        <w:t xml:space="preserve"> </w:t>
      </w:r>
      <w:r>
        <w:rPr>
          <w:color w:val="231F20"/>
        </w:rPr>
        <w:t>operating</w:t>
      </w:r>
      <w:r>
        <w:rPr>
          <w:color w:val="231F20"/>
          <w:spacing w:val="-13"/>
        </w:rPr>
        <w:t xml:space="preserve"> </w:t>
      </w:r>
      <w:r>
        <w:rPr>
          <w:color w:val="231F20"/>
        </w:rPr>
        <w:t>procedures</w:t>
      </w:r>
      <w:r>
        <w:rPr>
          <w:color w:val="231F20"/>
          <w:spacing w:val="-13"/>
        </w:rPr>
        <w:t xml:space="preserve"> </w:t>
      </w:r>
      <w:r>
        <w:rPr>
          <w:color w:val="231F20"/>
        </w:rPr>
        <w:t>for</w:t>
      </w:r>
      <w:r>
        <w:rPr>
          <w:color w:val="231F20"/>
          <w:spacing w:val="-13"/>
        </w:rPr>
        <w:t xml:space="preserve"> </w:t>
      </w:r>
      <w:r>
        <w:rPr>
          <w:color w:val="231F20"/>
        </w:rPr>
        <w:t>clinical</w:t>
      </w:r>
      <w:r>
        <w:rPr>
          <w:color w:val="231F20"/>
          <w:spacing w:val="-13"/>
        </w:rPr>
        <w:t xml:space="preserve"> </w:t>
      </w:r>
      <w:r>
        <w:rPr>
          <w:color w:val="231F20"/>
        </w:rPr>
        <w:t>trials before, during, and after the trial. During the trial, inspectors will monitor the correctness and integrity of the data using</w:t>
      </w:r>
      <w:r>
        <w:rPr>
          <w:color w:val="231F20"/>
          <w:spacing w:val="-20"/>
        </w:rPr>
        <w:t xml:space="preserve"> </w:t>
      </w:r>
      <w:r>
        <w:rPr>
          <w:color w:val="231F20"/>
        </w:rPr>
        <w:t>case</w:t>
      </w:r>
      <w:r>
        <w:rPr>
          <w:color w:val="231F20"/>
          <w:spacing w:val="-20"/>
        </w:rPr>
        <w:t xml:space="preserve"> </w:t>
      </w:r>
      <w:r>
        <w:rPr>
          <w:color w:val="231F20"/>
        </w:rPr>
        <w:t>registration</w:t>
      </w:r>
      <w:r>
        <w:rPr>
          <w:color w:val="231F20"/>
          <w:spacing w:val="-19"/>
        </w:rPr>
        <w:t xml:space="preserve"> </w:t>
      </w:r>
      <w:r>
        <w:rPr>
          <w:color w:val="231F20"/>
        </w:rPr>
        <w:t>forms.</w:t>
      </w:r>
      <w:r>
        <w:rPr>
          <w:color w:val="231F20"/>
          <w:spacing w:val="-20"/>
        </w:rPr>
        <w:t xml:space="preserve"> </w:t>
      </w:r>
      <w:r>
        <w:rPr>
          <w:color w:val="231F20"/>
        </w:rPr>
        <w:t>Researchers</w:t>
      </w:r>
      <w:r>
        <w:rPr>
          <w:color w:val="231F20"/>
          <w:spacing w:val="-19"/>
        </w:rPr>
        <w:t xml:space="preserve"> </w:t>
      </w:r>
      <w:r>
        <w:rPr>
          <w:color w:val="231F20"/>
        </w:rPr>
        <w:t>will</w:t>
      </w:r>
      <w:r>
        <w:rPr>
          <w:color w:val="231F20"/>
          <w:spacing w:val="-20"/>
        </w:rPr>
        <w:t xml:space="preserve"> </w:t>
      </w:r>
      <w:r>
        <w:rPr>
          <w:color w:val="231F20"/>
        </w:rPr>
        <w:t>be</w:t>
      </w:r>
      <w:r>
        <w:rPr>
          <w:color w:val="231F20"/>
          <w:spacing w:val="-19"/>
        </w:rPr>
        <w:t xml:space="preserve"> </w:t>
      </w:r>
      <w:r>
        <w:rPr>
          <w:color w:val="231F20"/>
        </w:rPr>
        <w:t>provided with training to enable uniform recording methods and judgment standards. Researchers will carefully record all information on case report forms to ensure that the data are correct and reliable. The investigators will use normal reference ranges as standards to determine abnormal laboratory test results. All observations and findings will be</w:t>
      </w:r>
      <w:r>
        <w:rPr>
          <w:color w:val="231F20"/>
          <w:spacing w:val="-5"/>
        </w:rPr>
        <w:t xml:space="preserve"> </w:t>
      </w:r>
      <w:r>
        <w:rPr>
          <w:color w:val="231F20"/>
        </w:rPr>
        <w:t>checked</w:t>
      </w:r>
      <w:r>
        <w:rPr>
          <w:color w:val="231F20"/>
          <w:spacing w:val="-4"/>
        </w:rPr>
        <w:t xml:space="preserve"> </w:t>
      </w:r>
      <w:r>
        <w:rPr>
          <w:color w:val="231F20"/>
        </w:rPr>
        <w:t>to</w:t>
      </w:r>
      <w:r>
        <w:rPr>
          <w:color w:val="231F20"/>
          <w:spacing w:val="-4"/>
        </w:rPr>
        <w:t xml:space="preserve"> </w:t>
      </w:r>
      <w:r>
        <w:rPr>
          <w:color w:val="231F20"/>
        </w:rPr>
        <w:t>ensure</w:t>
      </w:r>
      <w:r>
        <w:rPr>
          <w:color w:val="231F20"/>
          <w:spacing w:val="-5"/>
        </w:rPr>
        <w:t xml:space="preserve"> </w:t>
      </w:r>
      <w:r>
        <w:rPr>
          <w:color w:val="231F20"/>
        </w:rPr>
        <w:t>data</w:t>
      </w:r>
      <w:r>
        <w:rPr>
          <w:color w:val="231F20"/>
          <w:spacing w:val="-4"/>
        </w:rPr>
        <w:t xml:space="preserve"> </w:t>
      </w:r>
      <w:r>
        <w:rPr>
          <w:color w:val="231F20"/>
        </w:rPr>
        <w:t>reliability</w:t>
      </w:r>
      <w:r>
        <w:rPr>
          <w:color w:val="231F20"/>
          <w:spacing w:val="-4"/>
        </w:rPr>
        <w:t xml:space="preserve"> </w:t>
      </w:r>
      <w:r>
        <w:rPr>
          <w:color w:val="231F20"/>
        </w:rPr>
        <w:t>and</w:t>
      </w:r>
      <w:r>
        <w:rPr>
          <w:color w:val="231F20"/>
          <w:spacing w:val="-5"/>
        </w:rPr>
        <w:t xml:space="preserve"> </w:t>
      </w:r>
      <w:r>
        <w:rPr>
          <w:color w:val="231F20"/>
        </w:rPr>
        <w:t>to</w:t>
      </w:r>
      <w:r>
        <w:rPr>
          <w:color w:val="231F20"/>
          <w:spacing w:val="-4"/>
        </w:rPr>
        <w:t xml:space="preserve"> </w:t>
      </w:r>
      <w:r>
        <w:rPr>
          <w:color w:val="231F20"/>
        </w:rPr>
        <w:t>ensure</w:t>
      </w:r>
      <w:r>
        <w:rPr>
          <w:color w:val="231F20"/>
          <w:spacing w:val="-4"/>
        </w:rPr>
        <w:t xml:space="preserve"> </w:t>
      </w:r>
      <w:r>
        <w:rPr>
          <w:color w:val="231F20"/>
        </w:rPr>
        <w:t>that</w:t>
      </w:r>
      <w:r>
        <w:rPr>
          <w:color w:val="231F20"/>
          <w:spacing w:val="-4"/>
        </w:rPr>
        <w:t xml:space="preserve"> </w:t>
      </w:r>
      <w:r>
        <w:rPr>
          <w:color w:val="231F20"/>
        </w:rPr>
        <w:t>the conclusions come from the original data. In the clinical trials and data processing stage, there will be corresponding data management measures. Active measures will be taken to control the dropout rate to within</w:t>
      </w:r>
      <w:r>
        <w:rPr>
          <w:color w:val="231F20"/>
          <w:spacing w:val="35"/>
        </w:rPr>
        <w:t xml:space="preserve"> </w:t>
      </w:r>
      <w:r>
        <w:rPr>
          <w:color w:val="231F20"/>
        </w:rPr>
        <w:t>20%.</w:t>
      </w:r>
    </w:p>
    <w:p>
      <w:pPr>
        <w:pStyle w:val="5"/>
        <w:spacing w:before="7"/>
        <w:rPr>
          <w:sz w:val="19"/>
        </w:rPr>
      </w:pPr>
    </w:p>
    <w:p>
      <w:pPr>
        <w:spacing w:before="1" w:line="336" w:lineRule="exact"/>
        <w:ind w:left="117" w:right="0" w:firstLine="0"/>
        <w:jc w:val="left"/>
        <w:rPr>
          <w:rFonts w:ascii="Calibri"/>
          <w:b/>
          <w:sz w:val="19"/>
        </w:rPr>
      </w:pPr>
      <w:r>
        <w:rPr>
          <w:rFonts w:ascii="Calibri"/>
          <w:b/>
          <w:color w:val="32327F"/>
          <w:w w:val="125"/>
          <w:sz w:val="28"/>
        </w:rPr>
        <w:t>d</w:t>
      </w:r>
      <w:r>
        <w:rPr>
          <w:rFonts w:ascii="Calibri"/>
          <w:b/>
          <w:color w:val="32327F"/>
          <w:w w:val="125"/>
          <w:sz w:val="19"/>
        </w:rPr>
        <w:t>iscussion</w:t>
      </w:r>
    </w:p>
    <w:p>
      <w:pPr>
        <w:pStyle w:val="5"/>
        <w:spacing w:line="239" w:lineRule="exact"/>
        <w:ind w:left="117"/>
        <w:rPr>
          <w:rFonts w:hint="eastAsia"/>
          <w:color w:val="231F20"/>
          <w:spacing w:val="3"/>
        </w:rPr>
      </w:pPr>
      <w:r>
        <w:rPr>
          <w:color w:val="231F20"/>
        </w:rPr>
        <w:t>Sedation, absolute bed rest, fluid balance, and hemostasis are</w:t>
      </w:r>
      <w:r>
        <w:rPr>
          <w:color w:val="231F20"/>
          <w:spacing w:val="-6"/>
        </w:rPr>
        <w:t xml:space="preserve"> </w:t>
      </w:r>
      <w:r>
        <w:rPr>
          <w:color w:val="231F20"/>
        </w:rPr>
        <w:t>for</w:t>
      </w:r>
      <w:r>
        <w:rPr>
          <w:color w:val="231F20"/>
          <w:spacing w:val="-5"/>
        </w:rPr>
        <w:t xml:space="preserve"> </w:t>
      </w:r>
      <w:r>
        <w:rPr>
          <w:color w:val="231F20"/>
        </w:rPr>
        <w:t>the</w:t>
      </w:r>
      <w:r>
        <w:rPr>
          <w:color w:val="231F20"/>
          <w:spacing w:val="-6"/>
        </w:rPr>
        <w:t xml:space="preserve"> </w:t>
      </w:r>
      <w:r>
        <w:rPr>
          <w:color w:val="231F20"/>
        </w:rPr>
        <w:t>symptomatic</w:t>
      </w:r>
      <w:r>
        <w:rPr>
          <w:color w:val="231F20"/>
          <w:spacing w:val="-5"/>
        </w:rPr>
        <w:t xml:space="preserve"> </w:t>
      </w:r>
      <w:r>
        <w:rPr>
          <w:color w:val="231F20"/>
        </w:rPr>
        <w:t>treatment</w:t>
      </w:r>
      <w:r>
        <w:rPr>
          <w:color w:val="231F20"/>
          <w:spacing w:val="-6"/>
        </w:rPr>
        <w:t xml:space="preserve"> </w:t>
      </w:r>
      <w:r>
        <w:rPr>
          <w:color w:val="231F20"/>
        </w:rPr>
        <w:t>of</w:t>
      </w:r>
      <w:r>
        <w:rPr>
          <w:color w:val="231F20"/>
          <w:spacing w:val="-5"/>
        </w:rPr>
        <w:t xml:space="preserve"> </w:t>
      </w:r>
      <w:r>
        <w:rPr>
          <w:color w:val="231F20"/>
        </w:rPr>
        <w:t>patients</w:t>
      </w:r>
      <w:r>
        <w:rPr>
          <w:color w:val="231F20"/>
          <w:spacing w:val="-6"/>
        </w:rPr>
        <w:t xml:space="preserve"> </w:t>
      </w:r>
      <w:r>
        <w:rPr>
          <w:color w:val="231F20"/>
        </w:rPr>
        <w:t>with</w:t>
      </w:r>
      <w:r>
        <w:rPr>
          <w:color w:val="231F20"/>
          <w:spacing w:val="-5"/>
        </w:rPr>
        <w:t xml:space="preserve"> </w:t>
      </w:r>
      <w:r>
        <w:rPr>
          <w:color w:val="231F20"/>
        </w:rPr>
        <w:t>spontaneous subarachnoid hemorrhage. Such conventional</w:t>
      </w:r>
      <w:r>
        <w:rPr>
          <w:color w:val="231F20"/>
          <w:spacing w:val="-39"/>
        </w:rPr>
        <w:t xml:space="preserve"> </w:t>
      </w:r>
      <w:r>
        <w:rPr>
          <w:color w:val="231F20"/>
        </w:rPr>
        <w:t>treatments cannot effectively restore the patient’s</w:t>
      </w:r>
      <w:r>
        <w:rPr>
          <w:color w:val="231F20"/>
          <w:spacing w:val="-39"/>
        </w:rPr>
        <w:t xml:space="preserve"> </w:t>
      </w:r>
      <w:r>
        <w:rPr>
          <w:color w:val="231F20"/>
        </w:rPr>
        <w:t>neurological</w:t>
      </w:r>
    </w:p>
    <w:p>
      <w:pPr>
        <w:pStyle w:val="5"/>
        <w:spacing w:before="92" w:line="259" w:lineRule="auto"/>
        <w:ind w:left="117" w:right="38"/>
        <w:jc w:val="both"/>
      </w:pPr>
      <w:r>
        <w:rPr>
          <w:color w:val="231F20"/>
        </w:rPr>
        <w:t>condition. Thus, the goal of this study is to confirm the multiple neuroprotective effects of atorvastatin, including reducing inflammation, relieving vasospasm, improving endothelial cell function, and confronting blood coagula- tion activity in the treatment of spontaneous</w:t>
      </w:r>
      <w:r>
        <w:rPr>
          <w:color w:val="231F20"/>
          <w:spacing w:val="-33"/>
        </w:rPr>
        <w:t xml:space="preserve"> </w:t>
      </w:r>
      <w:r>
        <w:rPr>
          <w:color w:val="231F20"/>
        </w:rPr>
        <w:t xml:space="preserve">subarachnoid hemorrhage through this clinical trial. It remains poorly </w:t>
      </w:r>
      <w:r>
        <w:rPr>
          <w:color w:val="231F20"/>
          <w:spacing w:val="2"/>
        </w:rPr>
        <w:t xml:space="preserve">understood whether </w:t>
      </w:r>
      <w:r>
        <w:rPr>
          <w:color w:val="231F20"/>
        </w:rPr>
        <w:t xml:space="preserve">the </w:t>
      </w:r>
      <w:r>
        <w:rPr>
          <w:color w:val="231F20"/>
          <w:spacing w:val="2"/>
        </w:rPr>
        <w:t xml:space="preserve">addition </w:t>
      </w:r>
      <w:r>
        <w:rPr>
          <w:color w:val="231F20"/>
        </w:rPr>
        <w:t xml:space="preserve">of </w:t>
      </w:r>
      <w:r>
        <w:rPr>
          <w:color w:val="231F20"/>
          <w:spacing w:val="2"/>
        </w:rPr>
        <w:t xml:space="preserve">atorvastatin </w:t>
      </w:r>
      <w:r>
        <w:rPr>
          <w:color w:val="231F20"/>
        </w:rPr>
        <w:t xml:space="preserve">to </w:t>
      </w:r>
      <w:r>
        <w:rPr>
          <w:color w:val="231F20"/>
          <w:spacing w:val="3"/>
        </w:rPr>
        <w:t xml:space="preserve">the </w:t>
      </w:r>
      <w:r>
        <w:rPr>
          <w:color w:val="231F20"/>
        </w:rPr>
        <w:t>treatment protocol will improve outcome in the recovery of</w:t>
      </w:r>
      <w:r>
        <w:rPr>
          <w:color w:val="231F20"/>
          <w:spacing w:val="-6"/>
        </w:rPr>
        <w:t xml:space="preserve"> </w:t>
      </w:r>
      <w:r>
        <w:rPr>
          <w:color w:val="231F20"/>
        </w:rPr>
        <w:t>neurological</w:t>
      </w:r>
      <w:r>
        <w:rPr>
          <w:color w:val="231F20"/>
          <w:spacing w:val="-6"/>
        </w:rPr>
        <w:t xml:space="preserve"> </w:t>
      </w:r>
      <w:r>
        <w:rPr>
          <w:color w:val="231F20"/>
        </w:rPr>
        <w:t>function.</w:t>
      </w:r>
      <w:r>
        <w:rPr>
          <w:color w:val="231F20"/>
          <w:spacing w:val="-9"/>
        </w:rPr>
        <w:t xml:space="preserve"> </w:t>
      </w:r>
      <w:r>
        <w:rPr>
          <w:color w:val="231F20"/>
        </w:rPr>
        <w:t>The</w:t>
      </w:r>
      <w:r>
        <w:rPr>
          <w:color w:val="231F20"/>
          <w:spacing w:val="-5"/>
        </w:rPr>
        <w:t xml:space="preserve"> </w:t>
      </w:r>
      <w:r>
        <w:rPr>
          <w:color w:val="231F20"/>
        </w:rPr>
        <w:t>most</w:t>
      </w:r>
      <w:r>
        <w:rPr>
          <w:color w:val="231F20"/>
          <w:spacing w:val="-5"/>
        </w:rPr>
        <w:t xml:space="preserve"> </w:t>
      </w:r>
      <w:r>
        <w:rPr>
          <w:color w:val="231F20"/>
        </w:rPr>
        <w:t>common</w:t>
      </w:r>
      <w:r>
        <w:rPr>
          <w:color w:val="231F20"/>
          <w:spacing w:val="-5"/>
        </w:rPr>
        <w:t xml:space="preserve"> </w:t>
      </w:r>
      <w:r>
        <w:rPr>
          <w:color w:val="231F20"/>
        </w:rPr>
        <w:t>adverse</w:t>
      </w:r>
      <w:r>
        <w:rPr>
          <w:color w:val="231F20"/>
          <w:spacing w:val="-6"/>
        </w:rPr>
        <w:t xml:space="preserve"> </w:t>
      </w:r>
      <w:r>
        <w:rPr>
          <w:color w:val="231F20"/>
        </w:rPr>
        <w:t>reaction</w:t>
      </w:r>
      <w:r>
        <w:rPr>
          <w:color w:val="231F20"/>
          <w:spacing w:val="-8"/>
        </w:rPr>
        <w:t xml:space="preserve"> </w:t>
      </w:r>
      <w:r>
        <w:rPr>
          <w:color w:val="231F20"/>
        </w:rPr>
        <w:t>of</w:t>
      </w:r>
      <w:r>
        <w:rPr>
          <w:color w:val="231F20"/>
          <w:spacing w:val="-8"/>
        </w:rPr>
        <w:t xml:space="preserve"> </w:t>
      </w:r>
      <w:r>
        <w:rPr>
          <w:color w:val="231F20"/>
        </w:rPr>
        <w:t>atorvastatin</w:t>
      </w:r>
      <w:r>
        <w:rPr>
          <w:color w:val="231F20"/>
          <w:spacing w:val="-7"/>
        </w:rPr>
        <w:t xml:space="preserve"> </w:t>
      </w:r>
      <w:r>
        <w:rPr>
          <w:color w:val="231F20"/>
        </w:rPr>
        <w:t>is</w:t>
      </w:r>
      <w:r>
        <w:rPr>
          <w:color w:val="231F20"/>
          <w:spacing w:val="-8"/>
        </w:rPr>
        <w:t xml:space="preserve"> </w:t>
      </w:r>
      <w:r>
        <w:rPr>
          <w:color w:val="231F20"/>
        </w:rPr>
        <w:t>myopathy,</w:t>
      </w:r>
      <w:r>
        <w:rPr>
          <w:color w:val="231F20"/>
          <w:spacing w:val="-8"/>
        </w:rPr>
        <w:t xml:space="preserve"> </w:t>
      </w:r>
      <w:r>
        <w:rPr>
          <w:color w:val="231F20"/>
        </w:rPr>
        <w:t>which</w:t>
      </w:r>
      <w:r>
        <w:rPr>
          <w:color w:val="231F20"/>
          <w:spacing w:val="-7"/>
        </w:rPr>
        <w:t xml:space="preserve"> </w:t>
      </w:r>
      <w:r>
        <w:rPr>
          <w:color w:val="231F20"/>
        </w:rPr>
        <w:t>resolves</w:t>
      </w:r>
      <w:r>
        <w:rPr>
          <w:color w:val="231F20"/>
          <w:spacing w:val="-8"/>
        </w:rPr>
        <w:t xml:space="preserve"> </w:t>
      </w:r>
      <w:r>
        <w:rPr>
          <w:color w:val="231F20"/>
        </w:rPr>
        <w:t>after</w:t>
      </w:r>
      <w:r>
        <w:rPr>
          <w:color w:val="231F20"/>
          <w:spacing w:val="-7"/>
        </w:rPr>
        <w:t xml:space="preserve"> </w:t>
      </w:r>
      <w:r>
        <w:rPr>
          <w:color w:val="231F20"/>
        </w:rPr>
        <w:t>drug withdrawal</w:t>
      </w:r>
      <w:r>
        <w:rPr>
          <w:color w:val="231F20"/>
          <w:spacing w:val="-13"/>
        </w:rPr>
        <w:t xml:space="preserve"> </w:t>
      </w:r>
      <w:r>
        <w:rPr>
          <w:color w:val="231F20"/>
        </w:rPr>
        <w:t>because</w:t>
      </w:r>
      <w:r>
        <w:rPr>
          <w:color w:val="231F20"/>
          <w:spacing w:val="-12"/>
        </w:rPr>
        <w:t xml:space="preserve"> </w:t>
      </w:r>
      <w:r>
        <w:rPr>
          <w:color w:val="231F20"/>
        </w:rPr>
        <w:t>it</w:t>
      </w:r>
      <w:r>
        <w:rPr>
          <w:color w:val="231F20"/>
          <w:spacing w:val="-12"/>
        </w:rPr>
        <w:t xml:space="preserve"> </w:t>
      </w:r>
      <w:r>
        <w:rPr>
          <w:color w:val="231F20"/>
        </w:rPr>
        <w:t>occurs</w:t>
      </w:r>
      <w:r>
        <w:rPr>
          <w:color w:val="231F20"/>
          <w:spacing w:val="-12"/>
        </w:rPr>
        <w:t xml:space="preserve"> </w:t>
      </w:r>
      <w:r>
        <w:rPr>
          <w:color w:val="231F20"/>
        </w:rPr>
        <w:t>with</w:t>
      </w:r>
      <w:r>
        <w:rPr>
          <w:color w:val="231F20"/>
          <w:spacing w:val="-12"/>
        </w:rPr>
        <w:t xml:space="preserve"> </w:t>
      </w:r>
      <w:r>
        <w:rPr>
          <w:color w:val="231F20"/>
        </w:rPr>
        <w:t>atorvastatin</w:t>
      </w:r>
      <w:r>
        <w:rPr>
          <w:color w:val="231F20"/>
          <w:spacing w:val="-12"/>
        </w:rPr>
        <w:t xml:space="preserve"> </w:t>
      </w:r>
      <w:r>
        <w:rPr>
          <w:color w:val="231F20"/>
        </w:rPr>
        <w:t>administra- tion in a dose-dependent manner (Hermann et al., 2006; Soininen et al., 2006; Abdelbaset et al., 2014). The effect of</w:t>
      </w:r>
      <w:r>
        <w:rPr>
          <w:color w:val="231F20"/>
          <w:spacing w:val="-13"/>
        </w:rPr>
        <w:t xml:space="preserve"> </w:t>
      </w:r>
      <w:r>
        <w:rPr>
          <w:color w:val="231F20"/>
        </w:rPr>
        <w:t>atorvastatin</w:t>
      </w:r>
      <w:r>
        <w:rPr>
          <w:color w:val="231F20"/>
          <w:spacing w:val="-13"/>
        </w:rPr>
        <w:t xml:space="preserve"> </w:t>
      </w:r>
      <w:r>
        <w:rPr>
          <w:color w:val="231F20"/>
        </w:rPr>
        <w:t>on</w:t>
      </w:r>
      <w:r>
        <w:rPr>
          <w:color w:val="231F20"/>
          <w:spacing w:val="-13"/>
        </w:rPr>
        <w:t xml:space="preserve"> </w:t>
      </w:r>
      <w:r>
        <w:rPr>
          <w:color w:val="231F20"/>
        </w:rPr>
        <w:t>liver</w:t>
      </w:r>
      <w:r>
        <w:rPr>
          <w:color w:val="231F20"/>
          <w:spacing w:val="-13"/>
        </w:rPr>
        <w:t xml:space="preserve"> </w:t>
      </w:r>
      <w:r>
        <w:rPr>
          <w:color w:val="231F20"/>
        </w:rPr>
        <w:t>function</w:t>
      </w:r>
      <w:r>
        <w:rPr>
          <w:color w:val="231F20"/>
          <w:spacing w:val="-13"/>
        </w:rPr>
        <w:t xml:space="preserve"> </w:t>
      </w:r>
      <w:r>
        <w:rPr>
          <w:color w:val="231F20"/>
        </w:rPr>
        <w:t>is</w:t>
      </w:r>
      <w:r>
        <w:rPr>
          <w:color w:val="231F20"/>
          <w:spacing w:val="-13"/>
        </w:rPr>
        <w:t xml:space="preserve"> </w:t>
      </w:r>
      <w:r>
        <w:rPr>
          <w:color w:val="231F20"/>
        </w:rPr>
        <w:t>limited</w:t>
      </w:r>
      <w:r>
        <w:rPr>
          <w:color w:val="231F20"/>
          <w:spacing w:val="-13"/>
        </w:rPr>
        <w:t xml:space="preserve"> </w:t>
      </w:r>
      <w:r>
        <w:rPr>
          <w:color w:val="231F20"/>
        </w:rPr>
        <w:t>(Gershovich</w:t>
      </w:r>
      <w:r>
        <w:rPr>
          <w:color w:val="231F20"/>
          <w:spacing w:val="-13"/>
        </w:rPr>
        <w:t xml:space="preserve"> </w:t>
      </w:r>
      <w:r>
        <w:rPr>
          <w:color w:val="231F20"/>
        </w:rPr>
        <w:t>and Lyman,</w:t>
      </w:r>
      <w:r>
        <w:rPr>
          <w:color w:val="231F20"/>
          <w:spacing w:val="-8"/>
        </w:rPr>
        <w:t xml:space="preserve"> </w:t>
      </w:r>
      <w:r>
        <w:rPr>
          <w:color w:val="231F20"/>
        </w:rPr>
        <w:t>2004;</w:t>
      </w:r>
      <w:r>
        <w:rPr>
          <w:color w:val="231F20"/>
          <w:spacing w:val="-11"/>
        </w:rPr>
        <w:t xml:space="preserve"> </w:t>
      </w:r>
      <w:r>
        <w:rPr>
          <w:color w:val="231F20"/>
        </w:rPr>
        <w:t>Tikkanen</w:t>
      </w:r>
      <w:r>
        <w:rPr>
          <w:color w:val="231F20"/>
          <w:spacing w:val="-8"/>
        </w:rPr>
        <w:t xml:space="preserve"> </w:t>
      </w:r>
      <w:r>
        <w:rPr>
          <w:color w:val="231F20"/>
        </w:rPr>
        <w:t>et</w:t>
      </w:r>
      <w:r>
        <w:rPr>
          <w:color w:val="231F20"/>
          <w:spacing w:val="-7"/>
        </w:rPr>
        <w:t xml:space="preserve"> </w:t>
      </w:r>
      <w:r>
        <w:rPr>
          <w:color w:val="231F20"/>
        </w:rPr>
        <w:t>al.,</w:t>
      </w:r>
      <w:r>
        <w:rPr>
          <w:color w:val="231F20"/>
          <w:spacing w:val="-8"/>
        </w:rPr>
        <w:t xml:space="preserve"> </w:t>
      </w:r>
      <w:r>
        <w:rPr>
          <w:color w:val="231F20"/>
        </w:rPr>
        <w:t>2013;</w:t>
      </w:r>
      <w:r>
        <w:rPr>
          <w:color w:val="231F20"/>
          <w:spacing w:val="-7"/>
        </w:rPr>
        <w:t xml:space="preserve"> </w:t>
      </w:r>
      <w:r>
        <w:rPr>
          <w:color w:val="231F20"/>
        </w:rPr>
        <w:t>Kalantari</w:t>
      </w:r>
      <w:r>
        <w:rPr>
          <w:color w:val="231F20"/>
          <w:spacing w:val="-8"/>
        </w:rPr>
        <w:t xml:space="preserve"> </w:t>
      </w:r>
      <w:r>
        <w:rPr>
          <w:color w:val="231F20"/>
        </w:rPr>
        <w:t>and</w:t>
      </w:r>
      <w:r>
        <w:rPr>
          <w:color w:val="231F20"/>
          <w:spacing w:val="-8"/>
        </w:rPr>
        <w:t xml:space="preserve"> </w:t>
      </w:r>
      <w:r>
        <w:rPr>
          <w:color w:val="231F20"/>
        </w:rPr>
        <w:t>Naghipour,</w:t>
      </w:r>
      <w:r>
        <w:rPr>
          <w:color w:val="231F20"/>
          <w:spacing w:val="-9"/>
        </w:rPr>
        <w:t xml:space="preserve"> </w:t>
      </w:r>
      <w:r>
        <w:rPr>
          <w:color w:val="231F20"/>
        </w:rPr>
        <w:t>2014).</w:t>
      </w:r>
      <w:r>
        <w:rPr>
          <w:color w:val="231F20"/>
          <w:spacing w:val="-12"/>
        </w:rPr>
        <w:t xml:space="preserve"> </w:t>
      </w:r>
      <w:r>
        <w:rPr>
          <w:color w:val="231F20"/>
        </w:rPr>
        <w:t>Therefore,</w:t>
      </w:r>
      <w:r>
        <w:rPr>
          <w:color w:val="231F20"/>
          <w:spacing w:val="-9"/>
        </w:rPr>
        <w:t xml:space="preserve"> </w:t>
      </w:r>
      <w:r>
        <w:rPr>
          <w:color w:val="231F20"/>
        </w:rPr>
        <w:t>atorvastatin</w:t>
      </w:r>
      <w:r>
        <w:rPr>
          <w:color w:val="231F20"/>
          <w:spacing w:val="-8"/>
        </w:rPr>
        <w:t xml:space="preserve"> </w:t>
      </w:r>
      <w:r>
        <w:rPr>
          <w:color w:val="231F20"/>
        </w:rPr>
        <w:t>is</w:t>
      </w:r>
      <w:r>
        <w:rPr>
          <w:color w:val="231F20"/>
          <w:spacing w:val="-9"/>
        </w:rPr>
        <w:t xml:space="preserve"> </w:t>
      </w:r>
      <w:r>
        <w:rPr>
          <w:color w:val="231F20"/>
        </w:rPr>
        <w:t>expected</w:t>
      </w:r>
      <w:r>
        <w:rPr>
          <w:color w:val="231F20"/>
          <w:spacing w:val="-9"/>
        </w:rPr>
        <w:t xml:space="preserve"> </w:t>
      </w:r>
      <w:r>
        <w:rPr>
          <w:color w:val="231F20"/>
        </w:rPr>
        <w:t>to</w:t>
      </w:r>
      <w:r>
        <w:rPr>
          <w:color w:val="231F20"/>
          <w:spacing w:val="-8"/>
        </w:rPr>
        <w:t xml:space="preserve"> </w:t>
      </w:r>
      <w:r>
        <w:rPr>
          <w:color w:val="231F20"/>
        </w:rPr>
        <w:t>become a relatively safe method for the treatment of spontaneous subarachnoid hemorrhage. If this large sample size, ran- domized, parallel-group, placebo-controlled,</w:t>
      </w:r>
      <w:r>
        <w:rPr>
          <w:color w:val="231F20"/>
          <w:spacing w:val="-39"/>
        </w:rPr>
        <w:t xml:space="preserve"> </w:t>
      </w:r>
      <w:r>
        <w:rPr>
          <w:color w:val="231F20"/>
        </w:rPr>
        <w:t xml:space="preserve">double-blind clinical trial verifies the effectiveness of atorvastatin, this </w:t>
      </w:r>
      <w:r>
        <w:rPr>
          <w:color w:val="231F20"/>
          <w:spacing w:val="2"/>
        </w:rPr>
        <w:t xml:space="preserve">drug will </w:t>
      </w:r>
      <w:r>
        <w:rPr>
          <w:color w:val="231F20"/>
        </w:rPr>
        <w:t xml:space="preserve">be </w:t>
      </w:r>
      <w:r>
        <w:rPr>
          <w:color w:val="231F20"/>
          <w:spacing w:val="3"/>
        </w:rPr>
        <w:t xml:space="preserve">considered </w:t>
      </w:r>
      <w:r>
        <w:rPr>
          <w:color w:val="231F20"/>
          <w:spacing w:val="2"/>
        </w:rPr>
        <w:t xml:space="preserve">effective </w:t>
      </w:r>
      <w:r>
        <w:rPr>
          <w:color w:val="231F20"/>
        </w:rPr>
        <w:t xml:space="preserve">for </w:t>
      </w:r>
      <w:r>
        <w:rPr>
          <w:color w:val="231F20"/>
          <w:spacing w:val="2"/>
        </w:rPr>
        <w:t xml:space="preserve">the </w:t>
      </w:r>
      <w:r>
        <w:rPr>
          <w:color w:val="231F20"/>
          <w:spacing w:val="3"/>
        </w:rPr>
        <w:t xml:space="preserve">treatment of </w:t>
      </w:r>
      <w:r>
        <w:rPr>
          <w:color w:val="231F20"/>
        </w:rPr>
        <w:t>spontaneous subarachnoid</w:t>
      </w:r>
      <w:r>
        <w:rPr>
          <w:color w:val="231F20"/>
          <w:spacing w:val="8"/>
        </w:rPr>
        <w:t xml:space="preserve"> </w:t>
      </w:r>
      <w:r>
        <w:rPr>
          <w:color w:val="231F20"/>
        </w:rPr>
        <w:t>hemorrhage.</w:t>
      </w:r>
    </w:p>
    <w:p>
      <w:pPr>
        <w:pStyle w:val="5"/>
        <w:spacing w:before="8"/>
        <w:rPr>
          <w:sz w:val="18"/>
        </w:rPr>
      </w:pPr>
    </w:p>
    <w:p>
      <w:pPr>
        <w:pStyle w:val="3"/>
        <w:jc w:val="both"/>
      </w:pPr>
      <w:r>
        <w:rPr>
          <w:color w:val="32327F"/>
        </w:rPr>
        <w:t>Trial status</w:t>
      </w:r>
    </w:p>
    <w:p>
      <w:pPr>
        <w:pStyle w:val="5"/>
        <w:spacing w:before="7"/>
        <w:ind w:left="117"/>
        <w:jc w:val="both"/>
      </w:pPr>
      <w:r>
        <w:rPr>
          <w:color w:val="231F20"/>
        </w:rPr>
        <w:t>Ongoing and recruiting at the time of submission.</w:t>
      </w:r>
    </w:p>
    <w:p>
      <w:pPr>
        <w:pStyle w:val="5"/>
        <w:spacing w:line="239" w:lineRule="exact"/>
        <w:ind w:left="117"/>
        <w:rPr>
          <w:rFonts w:hint="eastAsia"/>
          <w:color w:val="231F20"/>
          <w:spacing w:val="3"/>
        </w:rPr>
      </w:pPr>
    </w:p>
    <w:p>
      <w:pPr>
        <w:spacing w:after="0"/>
        <w:rPr>
          <w:sz w:val="11"/>
        </w:rPr>
        <w:sectPr>
          <w:pgSz w:w="12240" w:h="15840"/>
          <w:pgMar w:top="940" w:right="960" w:bottom="800" w:left="960" w:header="254" w:footer="602" w:gutter="0"/>
        </w:sectPr>
      </w:pPr>
    </w:p>
    <w:p>
      <w:pPr>
        <w:spacing w:before="0" w:line="335" w:lineRule="exact"/>
        <w:ind w:right="0"/>
        <w:jc w:val="left"/>
        <w:rPr>
          <w:rFonts w:ascii="Calibri"/>
          <w:b/>
          <w:sz w:val="19"/>
        </w:rPr>
      </w:pPr>
      <w:r>
        <w:rPr>
          <w:rFonts w:hint="eastAsia" w:ascii="Calibri" w:eastAsia="宋体"/>
          <w:b/>
          <w:color w:val="32327F"/>
          <w:w w:val="125"/>
          <w:sz w:val="19"/>
          <w:lang w:val="en-US" w:eastAsia="zh-CN"/>
        </w:rPr>
        <w:t>R</w:t>
      </w:r>
      <w:r>
        <w:rPr>
          <w:rFonts w:ascii="Calibri"/>
          <w:b/>
          <w:color w:val="32327F"/>
          <w:w w:val="125"/>
          <w:sz w:val="19"/>
        </w:rPr>
        <w:t>eferences</w:t>
      </w:r>
    </w:p>
    <w:p>
      <w:pPr>
        <w:spacing w:before="0" w:line="271" w:lineRule="auto"/>
        <w:ind w:left="287" w:right="41" w:hanging="171"/>
        <w:jc w:val="both"/>
        <w:rPr>
          <w:sz w:val="18"/>
        </w:rPr>
      </w:pPr>
      <w:r>
        <w:rPr>
          <w:color w:val="231F20"/>
          <w:sz w:val="18"/>
        </w:rPr>
        <w:t>Abdelbaset M, Safar MM, Mahmoud SS, Negm SA, Agha AM (2014) Red yeast rice and coenzyme Q10 as safe alternatives to surmount atorvastatin-induced myopathy in hyperlipidemic rats. Can J Physiol Pharmacol 92:481-489.</w:t>
      </w:r>
    </w:p>
    <w:p>
      <w:pPr>
        <w:spacing w:before="0" w:line="271" w:lineRule="auto"/>
        <w:ind w:left="287" w:right="42" w:hanging="171"/>
        <w:jc w:val="both"/>
        <w:rPr>
          <w:sz w:val="18"/>
        </w:rPr>
      </w:pPr>
      <w:r>
        <w:rPr>
          <w:color w:val="231F20"/>
          <w:sz w:val="18"/>
        </w:rPr>
        <w:t>Antoniades</w:t>
      </w:r>
      <w:r>
        <w:rPr>
          <w:color w:val="231F20"/>
          <w:spacing w:val="-15"/>
          <w:sz w:val="18"/>
        </w:rPr>
        <w:t xml:space="preserve"> </w:t>
      </w:r>
      <w:r>
        <w:rPr>
          <w:color w:val="231F20"/>
          <w:sz w:val="18"/>
        </w:rPr>
        <w:t>C,</w:t>
      </w:r>
      <w:r>
        <w:rPr>
          <w:color w:val="231F20"/>
          <w:spacing w:val="-15"/>
          <w:sz w:val="18"/>
        </w:rPr>
        <w:t xml:space="preserve"> </w:t>
      </w:r>
      <w:r>
        <w:rPr>
          <w:color w:val="231F20"/>
          <w:sz w:val="18"/>
        </w:rPr>
        <w:t>Bakogiannis</w:t>
      </w:r>
      <w:r>
        <w:rPr>
          <w:color w:val="231F20"/>
          <w:spacing w:val="-15"/>
          <w:sz w:val="18"/>
        </w:rPr>
        <w:t xml:space="preserve"> </w:t>
      </w:r>
      <w:r>
        <w:rPr>
          <w:color w:val="231F20"/>
          <w:sz w:val="18"/>
        </w:rPr>
        <w:t>C,</w:t>
      </w:r>
      <w:r>
        <w:rPr>
          <w:color w:val="231F20"/>
          <w:spacing w:val="-15"/>
          <w:sz w:val="18"/>
        </w:rPr>
        <w:t xml:space="preserve"> </w:t>
      </w:r>
      <w:r>
        <w:rPr>
          <w:color w:val="231F20"/>
          <w:sz w:val="18"/>
        </w:rPr>
        <w:t>Leeson</w:t>
      </w:r>
      <w:r>
        <w:rPr>
          <w:color w:val="231F20"/>
          <w:spacing w:val="-15"/>
          <w:sz w:val="18"/>
        </w:rPr>
        <w:t xml:space="preserve"> </w:t>
      </w:r>
      <w:r>
        <w:rPr>
          <w:color w:val="231F20"/>
          <w:spacing w:val="-11"/>
          <w:sz w:val="18"/>
        </w:rPr>
        <w:t>P,</w:t>
      </w:r>
      <w:r>
        <w:rPr>
          <w:color w:val="231F20"/>
          <w:spacing w:val="-15"/>
          <w:sz w:val="18"/>
        </w:rPr>
        <w:t xml:space="preserve"> </w:t>
      </w:r>
      <w:r>
        <w:rPr>
          <w:color w:val="231F20"/>
          <w:sz w:val="18"/>
        </w:rPr>
        <w:t>Guzik</w:t>
      </w:r>
      <w:r>
        <w:rPr>
          <w:color w:val="231F20"/>
          <w:spacing w:val="-18"/>
          <w:sz w:val="18"/>
        </w:rPr>
        <w:t xml:space="preserve"> </w:t>
      </w:r>
      <w:r>
        <w:rPr>
          <w:color w:val="231F20"/>
          <w:sz w:val="18"/>
        </w:rPr>
        <w:t>TJ,</w:t>
      </w:r>
      <w:r>
        <w:rPr>
          <w:color w:val="231F20"/>
          <w:spacing w:val="-14"/>
          <w:sz w:val="18"/>
        </w:rPr>
        <w:t xml:space="preserve"> </w:t>
      </w:r>
      <w:r>
        <w:rPr>
          <w:color w:val="231F20"/>
          <w:sz w:val="18"/>
        </w:rPr>
        <w:t>Zhang</w:t>
      </w:r>
      <w:r>
        <w:rPr>
          <w:color w:val="231F20"/>
          <w:spacing w:val="-15"/>
          <w:sz w:val="18"/>
        </w:rPr>
        <w:t xml:space="preserve"> </w:t>
      </w:r>
      <w:r>
        <w:rPr>
          <w:color w:val="231F20"/>
          <w:sz w:val="18"/>
        </w:rPr>
        <w:t>M-H,</w:t>
      </w:r>
      <w:r>
        <w:rPr>
          <w:color w:val="231F20"/>
          <w:spacing w:val="-18"/>
          <w:sz w:val="18"/>
        </w:rPr>
        <w:t xml:space="preserve"> </w:t>
      </w:r>
      <w:r>
        <w:rPr>
          <w:color w:val="231F20"/>
          <w:spacing w:val="-5"/>
          <w:sz w:val="18"/>
        </w:rPr>
        <w:t xml:space="preserve">Tou- </w:t>
      </w:r>
      <w:r>
        <w:rPr>
          <w:color w:val="231F20"/>
          <w:sz w:val="18"/>
        </w:rPr>
        <w:t xml:space="preserve">soulis D, Antonopoulos AS, Demosthenous M, Marinou K, Hale A, Paschalis A, Psarros C, </w:t>
      </w:r>
      <w:r>
        <w:rPr>
          <w:color w:val="231F20"/>
          <w:spacing w:val="-3"/>
          <w:sz w:val="18"/>
        </w:rPr>
        <w:t xml:space="preserve">Triantafyllou </w:t>
      </w:r>
      <w:r>
        <w:rPr>
          <w:color w:val="231F20"/>
          <w:sz w:val="18"/>
        </w:rPr>
        <w:t xml:space="preserve">C, Bendall J, Casadei B, Stefanadis C, Channon KM </w:t>
      </w:r>
      <w:r>
        <w:rPr>
          <w:color w:val="231F20"/>
          <w:spacing w:val="-3"/>
          <w:sz w:val="18"/>
        </w:rPr>
        <w:t xml:space="preserve">(2011) </w:t>
      </w:r>
      <w:r>
        <w:rPr>
          <w:color w:val="231F20"/>
          <w:sz w:val="18"/>
        </w:rPr>
        <w:t xml:space="preserve">Rapid, direct </w:t>
      </w:r>
      <w:r>
        <w:rPr>
          <w:color w:val="231F20"/>
          <w:spacing w:val="-3"/>
          <w:sz w:val="18"/>
        </w:rPr>
        <w:t xml:space="preserve">effects </w:t>
      </w:r>
      <w:r>
        <w:rPr>
          <w:color w:val="231F20"/>
          <w:sz w:val="18"/>
        </w:rPr>
        <w:t xml:space="preserve">of </w:t>
      </w:r>
      <w:r>
        <w:rPr>
          <w:color w:val="231F20"/>
          <w:spacing w:val="-2"/>
          <w:sz w:val="18"/>
        </w:rPr>
        <w:t xml:space="preserve">statin </w:t>
      </w:r>
      <w:r>
        <w:rPr>
          <w:color w:val="231F20"/>
          <w:sz w:val="18"/>
        </w:rPr>
        <w:t>treatment</w:t>
      </w:r>
      <w:r>
        <w:rPr>
          <w:color w:val="231F20"/>
          <w:spacing w:val="-8"/>
          <w:sz w:val="18"/>
        </w:rPr>
        <w:t xml:space="preserve"> </w:t>
      </w:r>
      <w:r>
        <w:rPr>
          <w:color w:val="231F20"/>
          <w:sz w:val="18"/>
        </w:rPr>
        <w:t>on</w:t>
      </w:r>
      <w:r>
        <w:rPr>
          <w:color w:val="231F20"/>
          <w:spacing w:val="-7"/>
          <w:sz w:val="18"/>
        </w:rPr>
        <w:t xml:space="preserve"> </w:t>
      </w:r>
      <w:r>
        <w:rPr>
          <w:color w:val="231F20"/>
          <w:sz w:val="18"/>
        </w:rPr>
        <w:t>arterial</w:t>
      </w:r>
      <w:r>
        <w:rPr>
          <w:color w:val="231F20"/>
          <w:spacing w:val="-8"/>
          <w:sz w:val="18"/>
        </w:rPr>
        <w:t xml:space="preserve"> </w:t>
      </w:r>
      <w:r>
        <w:rPr>
          <w:color w:val="231F20"/>
          <w:sz w:val="18"/>
        </w:rPr>
        <w:t>redox</w:t>
      </w:r>
      <w:r>
        <w:rPr>
          <w:color w:val="231F20"/>
          <w:spacing w:val="-7"/>
          <w:sz w:val="18"/>
        </w:rPr>
        <w:t xml:space="preserve"> </w:t>
      </w:r>
      <w:r>
        <w:rPr>
          <w:color w:val="231F20"/>
          <w:sz w:val="18"/>
        </w:rPr>
        <w:t>state</w:t>
      </w:r>
      <w:r>
        <w:rPr>
          <w:color w:val="231F20"/>
          <w:spacing w:val="-8"/>
          <w:sz w:val="18"/>
        </w:rPr>
        <w:t xml:space="preserve"> </w:t>
      </w:r>
      <w:r>
        <w:rPr>
          <w:color w:val="231F20"/>
          <w:sz w:val="18"/>
        </w:rPr>
        <w:t>and</w:t>
      </w:r>
      <w:r>
        <w:rPr>
          <w:color w:val="231F20"/>
          <w:spacing w:val="-7"/>
          <w:sz w:val="18"/>
        </w:rPr>
        <w:t xml:space="preserve"> </w:t>
      </w:r>
      <w:r>
        <w:rPr>
          <w:color w:val="231F20"/>
          <w:sz w:val="18"/>
        </w:rPr>
        <w:t>nitric</w:t>
      </w:r>
      <w:r>
        <w:rPr>
          <w:color w:val="231F20"/>
          <w:spacing w:val="-7"/>
          <w:sz w:val="18"/>
        </w:rPr>
        <w:t xml:space="preserve"> </w:t>
      </w:r>
      <w:r>
        <w:rPr>
          <w:color w:val="231F20"/>
          <w:sz w:val="18"/>
        </w:rPr>
        <w:t>oxide</w:t>
      </w:r>
      <w:r>
        <w:rPr>
          <w:color w:val="231F20"/>
          <w:spacing w:val="-8"/>
          <w:sz w:val="18"/>
        </w:rPr>
        <w:t xml:space="preserve"> </w:t>
      </w:r>
      <w:r>
        <w:rPr>
          <w:color w:val="231F20"/>
          <w:sz w:val="18"/>
        </w:rPr>
        <w:t>bioavailability</w:t>
      </w:r>
      <w:r>
        <w:rPr>
          <w:color w:val="231F20"/>
          <w:spacing w:val="-7"/>
          <w:sz w:val="18"/>
        </w:rPr>
        <w:t xml:space="preserve"> </w:t>
      </w:r>
      <w:r>
        <w:rPr>
          <w:color w:val="231F20"/>
          <w:sz w:val="18"/>
        </w:rPr>
        <w:t>in human atherosclerosis via tetrahydrobiopterin-mediated</w:t>
      </w:r>
      <w:r>
        <w:rPr>
          <w:color w:val="231F20"/>
          <w:spacing w:val="-27"/>
          <w:sz w:val="18"/>
        </w:rPr>
        <w:t xml:space="preserve"> </w:t>
      </w:r>
      <w:r>
        <w:rPr>
          <w:color w:val="231F20"/>
          <w:sz w:val="18"/>
        </w:rPr>
        <w:t>endothe- lial</w:t>
      </w:r>
      <w:r>
        <w:rPr>
          <w:color w:val="231F20"/>
          <w:spacing w:val="-9"/>
          <w:sz w:val="18"/>
        </w:rPr>
        <w:t xml:space="preserve"> </w:t>
      </w:r>
      <w:r>
        <w:rPr>
          <w:color w:val="231F20"/>
          <w:sz w:val="18"/>
        </w:rPr>
        <w:t>nitric</w:t>
      </w:r>
      <w:r>
        <w:rPr>
          <w:color w:val="231F20"/>
          <w:spacing w:val="-8"/>
          <w:sz w:val="18"/>
        </w:rPr>
        <w:t xml:space="preserve"> </w:t>
      </w:r>
      <w:r>
        <w:rPr>
          <w:color w:val="231F20"/>
          <w:sz w:val="18"/>
        </w:rPr>
        <w:t>oxide</w:t>
      </w:r>
      <w:r>
        <w:rPr>
          <w:color w:val="231F20"/>
          <w:spacing w:val="-8"/>
          <w:sz w:val="18"/>
        </w:rPr>
        <w:t xml:space="preserve"> </w:t>
      </w:r>
      <w:r>
        <w:rPr>
          <w:color w:val="231F20"/>
          <w:sz w:val="18"/>
        </w:rPr>
        <w:t>synthase</w:t>
      </w:r>
      <w:r>
        <w:rPr>
          <w:color w:val="231F20"/>
          <w:spacing w:val="-9"/>
          <w:sz w:val="18"/>
        </w:rPr>
        <w:t xml:space="preserve"> </w:t>
      </w:r>
      <w:r>
        <w:rPr>
          <w:color w:val="231F20"/>
          <w:sz w:val="18"/>
        </w:rPr>
        <w:t>coupling.</w:t>
      </w:r>
      <w:r>
        <w:rPr>
          <w:color w:val="231F20"/>
          <w:spacing w:val="-8"/>
          <w:sz w:val="18"/>
        </w:rPr>
        <w:t xml:space="preserve"> </w:t>
      </w:r>
      <w:r>
        <w:rPr>
          <w:color w:val="231F20"/>
          <w:sz w:val="18"/>
        </w:rPr>
        <w:t>Circulation</w:t>
      </w:r>
      <w:r>
        <w:rPr>
          <w:color w:val="231F20"/>
          <w:spacing w:val="-8"/>
          <w:sz w:val="18"/>
        </w:rPr>
        <w:t xml:space="preserve"> </w:t>
      </w:r>
      <w:r>
        <w:rPr>
          <w:color w:val="231F20"/>
          <w:sz w:val="18"/>
        </w:rPr>
        <w:t>124:335-345.</w:t>
      </w:r>
    </w:p>
    <w:p>
      <w:pPr>
        <w:spacing w:before="99" w:line="261" w:lineRule="auto"/>
        <w:ind w:left="287" w:right="115" w:hanging="171"/>
        <w:jc w:val="both"/>
        <w:rPr>
          <w:sz w:val="18"/>
        </w:rPr>
      </w:pPr>
      <w:r>
        <w:rPr>
          <w:color w:val="231F20"/>
          <w:sz w:val="18"/>
        </w:rPr>
        <w:t>Cerda A, Fajardo CM, Basso RG, Hirata MH, Hirata RD (2015) Role of microRNAs 221/222 on statin induced nitric oxide re- lease in human endothelial cells. Arq Bras Cardiol 104:195-200.</w:t>
      </w:r>
      <w:r>
        <w:br w:type="column"/>
      </w:r>
    </w:p>
    <w:p>
      <w:pPr>
        <w:spacing w:before="1" w:line="261" w:lineRule="auto"/>
        <w:ind w:left="287" w:right="114" w:hanging="171"/>
        <w:jc w:val="both"/>
        <w:rPr>
          <w:sz w:val="18"/>
        </w:rPr>
      </w:pPr>
      <w:r>
        <w:rPr>
          <w:color w:val="231F20"/>
          <w:sz w:val="18"/>
        </w:rPr>
        <w:t xml:space="preserve">Cheng G, </w:t>
      </w:r>
      <w:r>
        <w:rPr>
          <w:color w:val="231F20"/>
          <w:spacing w:val="-5"/>
          <w:sz w:val="18"/>
        </w:rPr>
        <w:t xml:space="preserve">Wei </w:t>
      </w:r>
      <w:r>
        <w:rPr>
          <w:color w:val="231F20"/>
          <w:sz w:val="18"/>
        </w:rPr>
        <w:t>L, Zhi-dan S, Shi-guang Z, Xiang-zhen L (2009) Atorvastatin</w:t>
      </w:r>
      <w:r>
        <w:rPr>
          <w:color w:val="231F20"/>
          <w:spacing w:val="-7"/>
          <w:sz w:val="18"/>
        </w:rPr>
        <w:t xml:space="preserve"> </w:t>
      </w:r>
      <w:r>
        <w:rPr>
          <w:color w:val="231F20"/>
          <w:sz w:val="18"/>
        </w:rPr>
        <w:t>ameliorates</w:t>
      </w:r>
      <w:r>
        <w:rPr>
          <w:color w:val="231F20"/>
          <w:spacing w:val="-7"/>
          <w:sz w:val="18"/>
        </w:rPr>
        <w:t xml:space="preserve"> </w:t>
      </w:r>
      <w:r>
        <w:rPr>
          <w:color w:val="231F20"/>
          <w:sz w:val="18"/>
        </w:rPr>
        <w:t>cerebral</w:t>
      </w:r>
      <w:r>
        <w:rPr>
          <w:color w:val="231F20"/>
          <w:spacing w:val="-6"/>
          <w:sz w:val="18"/>
        </w:rPr>
        <w:t xml:space="preserve"> </w:t>
      </w:r>
      <w:r>
        <w:rPr>
          <w:color w:val="231F20"/>
          <w:sz w:val="18"/>
        </w:rPr>
        <w:t>vasospasm</w:t>
      </w:r>
      <w:r>
        <w:rPr>
          <w:color w:val="231F20"/>
          <w:spacing w:val="-7"/>
          <w:sz w:val="18"/>
        </w:rPr>
        <w:t xml:space="preserve"> </w:t>
      </w:r>
      <w:r>
        <w:rPr>
          <w:color w:val="231F20"/>
          <w:sz w:val="18"/>
        </w:rPr>
        <w:t>and</w:t>
      </w:r>
      <w:r>
        <w:rPr>
          <w:color w:val="231F20"/>
          <w:spacing w:val="-6"/>
          <w:sz w:val="18"/>
        </w:rPr>
        <w:t xml:space="preserve"> </w:t>
      </w:r>
      <w:r>
        <w:rPr>
          <w:color w:val="231F20"/>
          <w:sz w:val="18"/>
        </w:rPr>
        <w:t>early</w:t>
      </w:r>
      <w:r>
        <w:rPr>
          <w:color w:val="231F20"/>
          <w:spacing w:val="-7"/>
          <w:sz w:val="18"/>
        </w:rPr>
        <w:t xml:space="preserve"> </w:t>
      </w:r>
      <w:r>
        <w:rPr>
          <w:color w:val="231F20"/>
          <w:sz w:val="18"/>
        </w:rPr>
        <w:t>brain</w:t>
      </w:r>
      <w:r>
        <w:rPr>
          <w:color w:val="231F20"/>
          <w:spacing w:val="-7"/>
          <w:sz w:val="18"/>
        </w:rPr>
        <w:t xml:space="preserve"> </w:t>
      </w:r>
      <w:r>
        <w:rPr>
          <w:color w:val="231F20"/>
          <w:sz w:val="18"/>
        </w:rPr>
        <w:t>inju- ry</w:t>
      </w:r>
      <w:r>
        <w:rPr>
          <w:color w:val="231F20"/>
          <w:spacing w:val="-7"/>
          <w:sz w:val="18"/>
        </w:rPr>
        <w:t xml:space="preserve"> </w:t>
      </w:r>
      <w:r>
        <w:rPr>
          <w:color w:val="231F20"/>
          <w:sz w:val="18"/>
        </w:rPr>
        <w:t>after</w:t>
      </w:r>
      <w:r>
        <w:rPr>
          <w:color w:val="231F20"/>
          <w:spacing w:val="-6"/>
          <w:sz w:val="18"/>
        </w:rPr>
        <w:t xml:space="preserve"> </w:t>
      </w:r>
      <w:r>
        <w:rPr>
          <w:color w:val="231F20"/>
          <w:sz w:val="18"/>
        </w:rPr>
        <w:t>subarachnoid</w:t>
      </w:r>
      <w:r>
        <w:rPr>
          <w:color w:val="231F20"/>
          <w:spacing w:val="-7"/>
          <w:sz w:val="18"/>
        </w:rPr>
        <w:t xml:space="preserve"> </w:t>
      </w:r>
      <w:r>
        <w:rPr>
          <w:color w:val="231F20"/>
          <w:sz w:val="18"/>
        </w:rPr>
        <w:t>hemorrhage</w:t>
      </w:r>
      <w:r>
        <w:rPr>
          <w:color w:val="231F20"/>
          <w:spacing w:val="-6"/>
          <w:sz w:val="18"/>
        </w:rPr>
        <w:t xml:space="preserve"> </w:t>
      </w:r>
      <w:r>
        <w:rPr>
          <w:color w:val="231F20"/>
          <w:sz w:val="18"/>
        </w:rPr>
        <w:t>and</w:t>
      </w:r>
      <w:r>
        <w:rPr>
          <w:color w:val="231F20"/>
          <w:spacing w:val="-6"/>
          <w:sz w:val="18"/>
        </w:rPr>
        <w:t xml:space="preserve"> </w:t>
      </w:r>
      <w:r>
        <w:rPr>
          <w:color w:val="231F20"/>
          <w:sz w:val="18"/>
        </w:rPr>
        <w:t>inhibits</w:t>
      </w:r>
      <w:r>
        <w:rPr>
          <w:color w:val="231F20"/>
          <w:spacing w:val="-7"/>
          <w:sz w:val="18"/>
        </w:rPr>
        <w:t xml:space="preserve"> </w:t>
      </w:r>
      <w:r>
        <w:rPr>
          <w:color w:val="231F20"/>
          <w:sz w:val="18"/>
        </w:rPr>
        <w:t>caspase-dependent apoptosis pathway. BMC Neurosci</w:t>
      </w:r>
      <w:r>
        <w:rPr>
          <w:color w:val="231F20"/>
          <w:spacing w:val="-3"/>
          <w:sz w:val="18"/>
        </w:rPr>
        <w:t xml:space="preserve"> </w:t>
      </w:r>
      <w:r>
        <w:rPr>
          <w:color w:val="231F20"/>
          <w:sz w:val="18"/>
        </w:rPr>
        <w:t>10:7.</w:t>
      </w:r>
    </w:p>
    <w:p>
      <w:pPr>
        <w:spacing w:before="1" w:line="261" w:lineRule="auto"/>
        <w:ind w:left="287" w:right="115" w:hanging="171"/>
        <w:jc w:val="both"/>
        <w:rPr>
          <w:sz w:val="18"/>
        </w:rPr>
      </w:pPr>
      <w:r>
        <w:rPr>
          <w:color w:val="231F20"/>
          <w:sz w:val="18"/>
        </w:rPr>
        <w:t>Chou SH, Smith EE, Badjatia N, Nogueira RG, Sims JR, Ogilvy CS, Rordorf GA, Ayata C (2008) A randomized, double-blind, placebo-controlled pilot study of simvastatin in aneurysmal sub- arachnoid hemorrhage. Stroke 39:2891-2893.</w:t>
      </w:r>
    </w:p>
    <w:p>
      <w:pPr>
        <w:spacing w:before="2" w:line="261" w:lineRule="auto"/>
        <w:ind w:left="287" w:right="115" w:hanging="171"/>
        <w:jc w:val="both"/>
        <w:rPr>
          <w:sz w:val="18"/>
        </w:rPr>
      </w:pPr>
      <w:r>
        <w:rPr>
          <w:color w:val="231F20"/>
          <w:sz w:val="18"/>
        </w:rPr>
        <w:t>Dietzen DJ, Page KL, Tetzloff TA, Bohrer A, Turk J (2007) Inhi- bition of 3-hydroxy-3-methylglutaryl coenzyme A (HMG CoA) reductase blunts factor VIIa/tissue factor and prothrombinase activities via effects on membrane phosphatidylserine. Atertio Thromb Vasc Biol 27:690-696.</w:t>
      </w:r>
    </w:p>
    <w:p>
      <w:pPr>
        <w:spacing w:before="2" w:line="261" w:lineRule="auto"/>
        <w:ind w:left="287" w:right="114" w:hanging="171"/>
        <w:jc w:val="both"/>
        <w:rPr>
          <w:sz w:val="18"/>
        </w:rPr>
      </w:pPr>
      <w:r>
        <w:rPr>
          <w:color w:val="231F20"/>
          <w:sz w:val="18"/>
        </w:rPr>
        <w:t>Ehrlich G, Kirschning T, Wenz H, Hegewald AA, Groden C, Schmiedek P, Scharf J, Seiz-Rosenhagen M (2016) Is there an influence of routine daily transcranial doppler examination on clinical outcome in patients after aneurysmal subarachnoid hem- orrhage? World Neurosurg doi: 10.1016/j.wneu.2015.11.091.</w:t>
      </w:r>
    </w:p>
    <w:p>
      <w:pPr>
        <w:spacing w:before="2" w:line="261" w:lineRule="auto"/>
        <w:ind w:left="287" w:right="115" w:hanging="171"/>
        <w:jc w:val="both"/>
        <w:rPr>
          <w:sz w:val="18"/>
        </w:rPr>
      </w:pPr>
      <w:r>
        <w:rPr>
          <w:color w:val="231F20"/>
          <w:sz w:val="18"/>
        </w:rPr>
        <w:t>Garg K, Sinha S, Kale SS, Chandra PS, Suri A, Singh MM, Kumar R, Sharma MS, Pandey RM, Sharma BS, Mahapatra AK (2013) Role of simvastatin in prevention of vasospasm and improving functional outcome after aneurysmal subarachnoid hemorrhage: a prospective, randomized, double-blind, placebo-controlled</w:t>
      </w:r>
      <w:r>
        <w:rPr>
          <w:color w:val="231F20"/>
          <w:spacing w:val="-28"/>
          <w:sz w:val="18"/>
        </w:rPr>
        <w:t xml:space="preserve"> </w:t>
      </w:r>
      <w:r>
        <w:rPr>
          <w:color w:val="231F20"/>
          <w:spacing w:val="-3"/>
          <w:sz w:val="18"/>
        </w:rPr>
        <w:t xml:space="preserve">pilot </w:t>
      </w:r>
      <w:r>
        <w:rPr>
          <w:color w:val="231F20"/>
          <w:sz w:val="18"/>
        </w:rPr>
        <w:t>trial. Br J Neurosurg</w:t>
      </w:r>
      <w:r>
        <w:rPr>
          <w:color w:val="231F20"/>
          <w:spacing w:val="-2"/>
          <w:sz w:val="18"/>
        </w:rPr>
        <w:t xml:space="preserve"> </w:t>
      </w:r>
      <w:r>
        <w:rPr>
          <w:color w:val="231F20"/>
          <w:sz w:val="18"/>
        </w:rPr>
        <w:t>27:181-186.</w:t>
      </w:r>
    </w:p>
    <w:p>
      <w:pPr>
        <w:spacing w:before="2" w:line="261" w:lineRule="auto"/>
        <w:ind w:left="257" w:leftChars="35" w:right="115" w:hanging="180" w:hangingChars="100"/>
        <w:jc w:val="left"/>
        <w:rPr>
          <w:color w:val="231F20"/>
          <w:sz w:val="18"/>
        </w:rPr>
      </w:pPr>
      <w:r>
        <w:rPr>
          <w:color w:val="231F20"/>
          <w:sz w:val="18"/>
        </w:rPr>
        <w:t xml:space="preserve">Gershovich OE, Lyman AE (2004) Liver mitochondrial respiratory function and coenzyme Q content in rats on a hypercholesterol- emic diet treated with atorvastatin.Pharmacotherapy 24:150-154. </w:t>
      </w:r>
    </w:p>
    <w:p>
      <w:pPr>
        <w:spacing w:before="2" w:line="261" w:lineRule="auto"/>
        <w:ind w:left="257" w:leftChars="35" w:right="115" w:hanging="180" w:hangingChars="100"/>
        <w:jc w:val="left"/>
        <w:rPr>
          <w:sz w:val="18"/>
        </w:rPr>
      </w:pPr>
      <w:r>
        <w:rPr>
          <w:color w:val="231F20"/>
          <w:sz w:val="18"/>
        </w:rPr>
        <w:t>Gocan S, Fisher A (2008) Neurological assessment by nurses using the National Institutes of Health Stroke Scale: implementation of</w:t>
      </w:r>
    </w:p>
    <w:p>
      <w:pPr>
        <w:spacing w:before="2"/>
        <w:ind w:left="287" w:right="0" w:firstLine="0"/>
        <w:jc w:val="both"/>
        <w:rPr>
          <w:sz w:val="18"/>
        </w:rPr>
      </w:pPr>
      <w:r>
        <w:rPr>
          <w:color w:val="231F20"/>
          <w:sz w:val="18"/>
        </w:rPr>
        <w:t>best practice guidelines. Can J Neurosci Nurs 30:31-42.</w:t>
      </w:r>
    </w:p>
    <w:p>
      <w:pPr>
        <w:spacing w:before="19" w:line="261" w:lineRule="auto"/>
        <w:ind w:left="360" w:right="115" w:hanging="360" w:hangingChars="200"/>
        <w:jc w:val="both"/>
        <w:rPr>
          <w:sz w:val="18"/>
        </w:rPr>
      </w:pPr>
      <w:r>
        <w:rPr>
          <w:color w:val="231F20"/>
          <w:sz w:val="18"/>
        </w:rPr>
        <w:t>Hermann M, Bogsrud MP, Molden E, Åsberg A, Mohebi BU, Ose L, Retterstøl K (2006) Exposure of atorvastatin is unchanged but lactone and acid metabolites are increased several-fold in pa- tients with atorvastatin-induced myopathy. Clin Pharmacol Ther 79:532-539.</w:t>
      </w:r>
    </w:p>
    <w:p>
      <w:pPr>
        <w:spacing w:before="2" w:line="261" w:lineRule="auto"/>
        <w:ind w:left="287" w:right="116" w:hanging="171"/>
        <w:jc w:val="both"/>
        <w:rPr>
          <w:sz w:val="18"/>
        </w:rPr>
      </w:pPr>
      <w:r>
        <w:rPr>
          <w:color w:val="231F20"/>
          <w:sz w:val="18"/>
        </w:rPr>
        <w:t>Kalantari</w:t>
      </w:r>
      <w:r>
        <w:rPr>
          <w:color w:val="231F20"/>
          <w:spacing w:val="-6"/>
          <w:sz w:val="18"/>
        </w:rPr>
        <w:t xml:space="preserve"> </w:t>
      </w:r>
      <w:r>
        <w:rPr>
          <w:color w:val="231F20"/>
          <w:sz w:val="18"/>
        </w:rPr>
        <w:t>S,</w:t>
      </w:r>
      <w:r>
        <w:rPr>
          <w:color w:val="231F20"/>
          <w:spacing w:val="-6"/>
          <w:sz w:val="18"/>
        </w:rPr>
        <w:t xml:space="preserve"> </w:t>
      </w:r>
      <w:r>
        <w:rPr>
          <w:color w:val="231F20"/>
          <w:sz w:val="18"/>
        </w:rPr>
        <w:t>Naghipour</w:t>
      </w:r>
      <w:r>
        <w:rPr>
          <w:color w:val="231F20"/>
          <w:spacing w:val="-5"/>
          <w:sz w:val="18"/>
        </w:rPr>
        <w:t xml:space="preserve"> </w:t>
      </w:r>
      <w:r>
        <w:rPr>
          <w:color w:val="231F20"/>
          <w:sz w:val="18"/>
        </w:rPr>
        <w:t>M</w:t>
      </w:r>
      <w:r>
        <w:rPr>
          <w:color w:val="231F20"/>
          <w:spacing w:val="-6"/>
          <w:sz w:val="18"/>
        </w:rPr>
        <w:t xml:space="preserve"> </w:t>
      </w:r>
      <w:r>
        <w:rPr>
          <w:color w:val="231F20"/>
          <w:sz w:val="18"/>
        </w:rPr>
        <w:t>(2014)</w:t>
      </w:r>
      <w:r>
        <w:rPr>
          <w:color w:val="231F20"/>
          <w:spacing w:val="-5"/>
          <w:sz w:val="18"/>
        </w:rPr>
        <w:t xml:space="preserve"> </w:t>
      </w:r>
      <w:r>
        <w:rPr>
          <w:color w:val="231F20"/>
          <w:sz w:val="18"/>
        </w:rPr>
        <w:t>Statin</w:t>
      </w:r>
      <w:r>
        <w:rPr>
          <w:color w:val="231F20"/>
          <w:spacing w:val="-6"/>
          <w:sz w:val="18"/>
        </w:rPr>
        <w:t xml:space="preserve"> </w:t>
      </w:r>
      <w:r>
        <w:rPr>
          <w:color w:val="231F20"/>
          <w:sz w:val="18"/>
        </w:rPr>
        <w:t>therapy</w:t>
      </w:r>
      <w:r>
        <w:rPr>
          <w:color w:val="231F20"/>
          <w:spacing w:val="-5"/>
          <w:sz w:val="18"/>
        </w:rPr>
        <w:t xml:space="preserve"> </w:t>
      </w:r>
      <w:r>
        <w:rPr>
          <w:color w:val="231F20"/>
          <w:sz w:val="18"/>
        </w:rPr>
        <w:t>and</w:t>
      </w:r>
      <w:r>
        <w:rPr>
          <w:color w:val="231F20"/>
          <w:spacing w:val="-6"/>
          <w:sz w:val="18"/>
        </w:rPr>
        <w:t xml:space="preserve"> </w:t>
      </w:r>
      <w:r>
        <w:rPr>
          <w:color w:val="231F20"/>
          <w:sz w:val="18"/>
        </w:rPr>
        <w:t>hepatotoxicity: Appraisal of the safety profile of atorvastatin in hyperlipidemic patients. Adv Biomed Res</w:t>
      </w:r>
      <w:r>
        <w:rPr>
          <w:color w:val="231F20"/>
          <w:spacing w:val="-13"/>
          <w:sz w:val="18"/>
        </w:rPr>
        <w:t xml:space="preserve"> </w:t>
      </w:r>
      <w:r>
        <w:rPr>
          <w:color w:val="231F20"/>
          <w:sz w:val="18"/>
        </w:rPr>
        <w:t>3:168.</w:t>
      </w:r>
    </w:p>
    <w:p>
      <w:pPr>
        <w:spacing w:before="1" w:line="261" w:lineRule="auto"/>
        <w:ind w:left="287" w:right="114" w:hanging="171"/>
        <w:jc w:val="both"/>
        <w:rPr>
          <w:sz w:val="18"/>
        </w:rPr>
      </w:pPr>
      <w:r>
        <w:rPr>
          <w:color w:val="231F20"/>
          <w:sz w:val="18"/>
        </w:rPr>
        <w:t xml:space="preserve">Kato </w:t>
      </w:r>
      <w:r>
        <w:rPr>
          <w:color w:val="231F20"/>
          <w:spacing w:val="-7"/>
          <w:sz w:val="18"/>
        </w:rPr>
        <w:t xml:space="preserve">T, </w:t>
      </w:r>
      <w:r>
        <w:rPr>
          <w:color w:val="231F20"/>
          <w:sz w:val="18"/>
        </w:rPr>
        <w:t>Hashikabe H, Iwata C, Akimoto K, Hattori Y (2004) Statin blocks</w:t>
      </w:r>
      <w:r>
        <w:rPr>
          <w:color w:val="231F20"/>
          <w:spacing w:val="-7"/>
          <w:sz w:val="18"/>
        </w:rPr>
        <w:t xml:space="preserve"> </w:t>
      </w:r>
      <w:r>
        <w:rPr>
          <w:color w:val="231F20"/>
          <w:sz w:val="18"/>
        </w:rPr>
        <w:t>Rho/Rho-kinase</w:t>
      </w:r>
      <w:r>
        <w:rPr>
          <w:color w:val="231F20"/>
          <w:spacing w:val="-6"/>
          <w:sz w:val="18"/>
        </w:rPr>
        <w:t xml:space="preserve"> </w:t>
      </w:r>
      <w:r>
        <w:rPr>
          <w:color w:val="231F20"/>
          <w:sz w:val="18"/>
        </w:rPr>
        <w:t>signalling</w:t>
      </w:r>
      <w:r>
        <w:rPr>
          <w:color w:val="231F20"/>
          <w:spacing w:val="-6"/>
          <w:sz w:val="18"/>
        </w:rPr>
        <w:t xml:space="preserve"> </w:t>
      </w:r>
      <w:r>
        <w:rPr>
          <w:color w:val="231F20"/>
          <w:sz w:val="18"/>
        </w:rPr>
        <w:t>and</w:t>
      </w:r>
      <w:r>
        <w:rPr>
          <w:color w:val="231F20"/>
          <w:spacing w:val="-6"/>
          <w:sz w:val="18"/>
        </w:rPr>
        <w:t xml:space="preserve"> </w:t>
      </w:r>
      <w:r>
        <w:rPr>
          <w:color w:val="231F20"/>
          <w:sz w:val="18"/>
        </w:rPr>
        <w:t>disrupts</w:t>
      </w:r>
      <w:r>
        <w:rPr>
          <w:color w:val="231F20"/>
          <w:spacing w:val="-7"/>
          <w:sz w:val="18"/>
        </w:rPr>
        <w:t xml:space="preserve"> </w:t>
      </w:r>
      <w:r>
        <w:rPr>
          <w:color w:val="231F20"/>
          <w:sz w:val="18"/>
        </w:rPr>
        <w:t>the</w:t>
      </w:r>
      <w:r>
        <w:rPr>
          <w:color w:val="231F20"/>
          <w:spacing w:val="-6"/>
          <w:sz w:val="18"/>
        </w:rPr>
        <w:t xml:space="preserve"> </w:t>
      </w:r>
      <w:r>
        <w:rPr>
          <w:color w:val="231F20"/>
          <w:sz w:val="18"/>
        </w:rPr>
        <w:t>actin</w:t>
      </w:r>
      <w:r>
        <w:rPr>
          <w:color w:val="231F20"/>
          <w:spacing w:val="-6"/>
          <w:sz w:val="18"/>
        </w:rPr>
        <w:t xml:space="preserve"> </w:t>
      </w:r>
      <w:r>
        <w:rPr>
          <w:color w:val="231F20"/>
          <w:sz w:val="18"/>
        </w:rPr>
        <w:t>cytoskel- eton: relationship to enhancement of LPS-mediated nitric oxide synthesis</w:t>
      </w:r>
      <w:r>
        <w:rPr>
          <w:color w:val="231F20"/>
          <w:spacing w:val="-7"/>
          <w:sz w:val="18"/>
        </w:rPr>
        <w:t xml:space="preserve"> </w:t>
      </w:r>
      <w:r>
        <w:rPr>
          <w:color w:val="231F20"/>
          <w:sz w:val="18"/>
        </w:rPr>
        <w:t>in</w:t>
      </w:r>
      <w:r>
        <w:rPr>
          <w:color w:val="231F20"/>
          <w:spacing w:val="-7"/>
          <w:sz w:val="18"/>
        </w:rPr>
        <w:t xml:space="preserve"> </w:t>
      </w:r>
      <w:r>
        <w:rPr>
          <w:color w:val="231F20"/>
          <w:sz w:val="18"/>
        </w:rPr>
        <w:t>vascular</w:t>
      </w:r>
      <w:r>
        <w:rPr>
          <w:color w:val="231F20"/>
          <w:spacing w:val="-7"/>
          <w:sz w:val="18"/>
        </w:rPr>
        <w:t xml:space="preserve"> </w:t>
      </w:r>
      <w:r>
        <w:rPr>
          <w:color w:val="231F20"/>
          <w:sz w:val="18"/>
        </w:rPr>
        <w:t>smooth</w:t>
      </w:r>
      <w:r>
        <w:rPr>
          <w:color w:val="231F20"/>
          <w:spacing w:val="-7"/>
          <w:sz w:val="18"/>
        </w:rPr>
        <w:t xml:space="preserve"> </w:t>
      </w:r>
      <w:r>
        <w:rPr>
          <w:color w:val="231F20"/>
          <w:sz w:val="18"/>
        </w:rPr>
        <w:t>muscle</w:t>
      </w:r>
      <w:r>
        <w:rPr>
          <w:color w:val="231F20"/>
          <w:spacing w:val="-8"/>
          <w:sz w:val="18"/>
        </w:rPr>
        <w:t xml:space="preserve"> </w:t>
      </w:r>
      <w:r>
        <w:rPr>
          <w:color w:val="231F20"/>
          <w:sz w:val="18"/>
        </w:rPr>
        <w:t>cells.</w:t>
      </w:r>
      <w:r>
        <w:rPr>
          <w:color w:val="231F20"/>
          <w:spacing w:val="-7"/>
          <w:sz w:val="18"/>
        </w:rPr>
        <w:t xml:space="preserve"> </w:t>
      </w:r>
      <w:r>
        <w:rPr>
          <w:color w:val="231F20"/>
          <w:sz w:val="18"/>
        </w:rPr>
        <w:t>Biochim</w:t>
      </w:r>
      <w:r>
        <w:rPr>
          <w:color w:val="231F20"/>
          <w:spacing w:val="-7"/>
          <w:sz w:val="18"/>
        </w:rPr>
        <w:t xml:space="preserve"> </w:t>
      </w:r>
      <w:r>
        <w:rPr>
          <w:color w:val="231F20"/>
          <w:sz w:val="18"/>
        </w:rPr>
        <w:t>Biophys</w:t>
      </w:r>
      <w:r>
        <w:rPr>
          <w:color w:val="231F20"/>
          <w:spacing w:val="-15"/>
          <w:sz w:val="18"/>
        </w:rPr>
        <w:t xml:space="preserve"> </w:t>
      </w:r>
      <w:r>
        <w:rPr>
          <w:color w:val="231F20"/>
          <w:sz w:val="18"/>
        </w:rPr>
        <w:t>Acta 1689:267-272.</w:t>
      </w:r>
    </w:p>
    <w:p>
      <w:pPr>
        <w:spacing w:before="2" w:line="261" w:lineRule="auto"/>
        <w:ind w:left="287" w:right="115" w:hanging="171"/>
        <w:jc w:val="both"/>
        <w:rPr>
          <w:sz w:val="18"/>
        </w:rPr>
      </w:pPr>
      <w:r>
        <w:rPr>
          <w:color w:val="231F20"/>
          <w:sz w:val="18"/>
        </w:rPr>
        <w:t>King</w:t>
      </w:r>
      <w:r>
        <w:rPr>
          <w:color w:val="231F20"/>
          <w:spacing w:val="-12"/>
          <w:sz w:val="18"/>
        </w:rPr>
        <w:t xml:space="preserve"> </w:t>
      </w:r>
      <w:r>
        <w:rPr>
          <w:color w:val="231F20"/>
          <w:spacing w:val="-7"/>
          <w:sz w:val="18"/>
        </w:rPr>
        <w:t>WA,</w:t>
      </w:r>
      <w:r>
        <w:rPr>
          <w:color w:val="231F20"/>
          <w:spacing w:val="-8"/>
          <w:sz w:val="18"/>
        </w:rPr>
        <w:t xml:space="preserve"> </w:t>
      </w:r>
      <w:r>
        <w:rPr>
          <w:color w:val="231F20"/>
          <w:sz w:val="18"/>
        </w:rPr>
        <w:t>Martin</w:t>
      </w:r>
      <w:r>
        <w:rPr>
          <w:color w:val="231F20"/>
          <w:spacing w:val="-8"/>
          <w:sz w:val="18"/>
        </w:rPr>
        <w:t xml:space="preserve"> </w:t>
      </w:r>
      <w:r>
        <w:rPr>
          <w:color w:val="231F20"/>
          <w:sz w:val="18"/>
        </w:rPr>
        <w:t>NA</w:t>
      </w:r>
      <w:r>
        <w:rPr>
          <w:color w:val="231F20"/>
          <w:spacing w:val="-17"/>
          <w:sz w:val="18"/>
        </w:rPr>
        <w:t xml:space="preserve"> </w:t>
      </w:r>
      <w:r>
        <w:rPr>
          <w:color w:val="231F20"/>
          <w:sz w:val="18"/>
        </w:rPr>
        <w:t>(1994)</w:t>
      </w:r>
      <w:r>
        <w:rPr>
          <w:color w:val="231F20"/>
          <w:spacing w:val="-8"/>
          <w:sz w:val="18"/>
        </w:rPr>
        <w:t xml:space="preserve"> </w:t>
      </w:r>
      <w:r>
        <w:rPr>
          <w:color w:val="231F20"/>
          <w:sz w:val="18"/>
        </w:rPr>
        <w:t>Critical</w:t>
      </w:r>
      <w:r>
        <w:rPr>
          <w:color w:val="231F20"/>
          <w:spacing w:val="-7"/>
          <w:sz w:val="18"/>
        </w:rPr>
        <w:t xml:space="preserve"> </w:t>
      </w:r>
      <w:r>
        <w:rPr>
          <w:color w:val="231F20"/>
          <w:sz w:val="18"/>
        </w:rPr>
        <w:t>care</w:t>
      </w:r>
      <w:r>
        <w:rPr>
          <w:color w:val="231F20"/>
          <w:spacing w:val="-8"/>
          <w:sz w:val="18"/>
        </w:rPr>
        <w:t xml:space="preserve"> </w:t>
      </w:r>
      <w:r>
        <w:rPr>
          <w:color w:val="231F20"/>
          <w:sz w:val="18"/>
        </w:rPr>
        <w:t>of</w:t>
      </w:r>
      <w:r>
        <w:rPr>
          <w:color w:val="231F20"/>
          <w:spacing w:val="-8"/>
          <w:sz w:val="18"/>
        </w:rPr>
        <w:t xml:space="preserve"> </w:t>
      </w:r>
      <w:r>
        <w:rPr>
          <w:color w:val="231F20"/>
          <w:sz w:val="18"/>
        </w:rPr>
        <w:t>patients</w:t>
      </w:r>
      <w:r>
        <w:rPr>
          <w:color w:val="231F20"/>
          <w:spacing w:val="-8"/>
          <w:sz w:val="18"/>
        </w:rPr>
        <w:t xml:space="preserve"> </w:t>
      </w:r>
      <w:r>
        <w:rPr>
          <w:color w:val="231F20"/>
          <w:sz w:val="18"/>
        </w:rPr>
        <w:t>with</w:t>
      </w:r>
      <w:r>
        <w:rPr>
          <w:color w:val="231F20"/>
          <w:spacing w:val="-7"/>
          <w:sz w:val="18"/>
        </w:rPr>
        <w:t xml:space="preserve"> </w:t>
      </w:r>
      <w:r>
        <w:rPr>
          <w:color w:val="231F20"/>
          <w:sz w:val="18"/>
        </w:rPr>
        <w:t>subarach- noid hemorrhage. Neurosurg Clin N Am</w:t>
      </w:r>
      <w:r>
        <w:rPr>
          <w:color w:val="231F20"/>
          <w:spacing w:val="-15"/>
          <w:sz w:val="18"/>
        </w:rPr>
        <w:t xml:space="preserve"> </w:t>
      </w:r>
      <w:r>
        <w:rPr>
          <w:color w:val="231F20"/>
          <w:sz w:val="18"/>
        </w:rPr>
        <w:t>5:767-787.</w:t>
      </w:r>
    </w:p>
    <w:p>
      <w:pPr>
        <w:spacing w:before="1" w:line="261" w:lineRule="auto"/>
        <w:ind w:left="287" w:right="115" w:hanging="171"/>
        <w:jc w:val="both"/>
        <w:rPr>
          <w:sz w:val="18"/>
        </w:rPr>
      </w:pPr>
      <w:r>
        <w:rPr>
          <w:color w:val="231F20"/>
          <w:sz w:val="18"/>
        </w:rPr>
        <w:t>Kirkpatrick PJ, Turner CL, Smith C, Hutchinson PJ, Murray GD, STASH Collaborators (2014) Simvastatin in aneurysmal sub- arachnoid haemorrhage (STASH): a multicentre randomised phase 3 trial. Lancet Neurol 13:666-675.</w:t>
      </w:r>
    </w:p>
    <w:p>
      <w:pPr>
        <w:spacing w:before="2" w:line="261" w:lineRule="auto"/>
        <w:ind w:left="287" w:right="115" w:hanging="171"/>
        <w:jc w:val="both"/>
        <w:rPr>
          <w:sz w:val="18"/>
        </w:rPr>
      </w:pPr>
      <w:r>
        <w:rPr>
          <w:color w:val="231F20"/>
          <w:sz w:val="18"/>
        </w:rPr>
        <w:t xml:space="preserve">Luzak B, Rywaniak J, Stanczyk L, </w:t>
      </w:r>
      <w:r>
        <w:rPr>
          <w:color w:val="231F20"/>
          <w:spacing w:val="-3"/>
          <w:sz w:val="18"/>
        </w:rPr>
        <w:t xml:space="preserve">Watala </w:t>
      </w:r>
      <w:r>
        <w:rPr>
          <w:color w:val="231F20"/>
          <w:sz w:val="18"/>
        </w:rPr>
        <w:t>C (2012) Pravastatin</w:t>
      </w:r>
      <w:r>
        <w:rPr>
          <w:color w:val="231F20"/>
          <w:spacing w:val="-32"/>
          <w:sz w:val="18"/>
        </w:rPr>
        <w:t xml:space="preserve"> </w:t>
      </w:r>
      <w:r>
        <w:rPr>
          <w:color w:val="231F20"/>
          <w:sz w:val="18"/>
        </w:rPr>
        <w:t>and simvastatin improves acetylsalicylic acid-mediated in vitro</w:t>
      </w:r>
      <w:r>
        <w:rPr>
          <w:color w:val="231F20"/>
          <w:spacing w:val="-22"/>
          <w:sz w:val="18"/>
        </w:rPr>
        <w:t xml:space="preserve"> </w:t>
      </w:r>
      <w:r>
        <w:rPr>
          <w:color w:val="231F20"/>
          <w:sz w:val="18"/>
        </w:rPr>
        <w:t>blood platelet inhibition. Eur J Clin Invest</w:t>
      </w:r>
      <w:r>
        <w:rPr>
          <w:color w:val="231F20"/>
          <w:spacing w:val="-1"/>
          <w:sz w:val="18"/>
        </w:rPr>
        <w:t xml:space="preserve"> </w:t>
      </w:r>
      <w:r>
        <w:rPr>
          <w:color w:val="231F20"/>
          <w:sz w:val="18"/>
        </w:rPr>
        <w:t>42:864-872.</w:t>
      </w:r>
    </w:p>
    <w:p>
      <w:pPr>
        <w:spacing w:before="93" w:line="266" w:lineRule="auto"/>
        <w:ind w:left="360" w:right="39" w:hanging="360" w:hangingChars="200"/>
        <w:jc w:val="both"/>
        <w:rPr>
          <w:color w:val="231F20"/>
          <w:sz w:val="18"/>
        </w:rPr>
      </w:pPr>
      <w:r>
        <w:rPr>
          <w:color w:val="231F20"/>
          <w:sz w:val="18"/>
        </w:rPr>
        <w:t>McGirt MJ, Garces Ambrossi GL, Huang J, Tamargo RJ (2009) Simvastatin for the prevention of symptomatic cerebral vaso- spasm following aneurysmal subarachnoid hemorrhage: a single- institution prospective cohort study. J Neurosurg 110:968-974</w:t>
      </w:r>
    </w:p>
    <w:p>
      <w:pPr>
        <w:spacing w:before="93" w:line="266" w:lineRule="auto"/>
        <w:ind w:left="360" w:right="39" w:hanging="360" w:hangingChars="200"/>
        <w:jc w:val="both"/>
        <w:rPr>
          <w:sz w:val="18"/>
        </w:rPr>
      </w:pPr>
      <w:r>
        <w:rPr>
          <w:color w:val="231F20"/>
          <w:sz w:val="18"/>
        </w:rPr>
        <w:t xml:space="preserve">Nina </w:t>
      </w:r>
      <w:r>
        <w:rPr>
          <w:color w:val="231F20"/>
          <w:spacing w:val="-10"/>
          <w:sz w:val="18"/>
        </w:rPr>
        <w:t xml:space="preserve">P, </w:t>
      </w:r>
      <w:r>
        <w:rPr>
          <w:color w:val="231F20"/>
          <w:sz w:val="18"/>
        </w:rPr>
        <w:t xml:space="preserve">Schisano G, Chiappetta </w:t>
      </w:r>
      <w:r>
        <w:rPr>
          <w:color w:val="231F20"/>
          <w:spacing w:val="-8"/>
          <w:sz w:val="18"/>
        </w:rPr>
        <w:t xml:space="preserve">F, </w:t>
      </w:r>
      <w:r>
        <w:rPr>
          <w:color w:val="231F20"/>
          <w:sz w:val="18"/>
        </w:rPr>
        <w:t xml:space="preserve">Luisa Papa M, Maddaloni E, Brunori A, Capasso </w:t>
      </w:r>
      <w:r>
        <w:rPr>
          <w:color w:val="231F20"/>
          <w:spacing w:val="-8"/>
          <w:sz w:val="18"/>
        </w:rPr>
        <w:t xml:space="preserve">F, </w:t>
      </w:r>
      <w:r>
        <w:rPr>
          <w:color w:val="231F20"/>
          <w:sz w:val="18"/>
        </w:rPr>
        <w:t>Corpetti MG, Demurtas F (2001) A study of blood coagulation and fibrinolytic system in spontaneous sub- arachnoid hemorrhage. Correlation with hunt-hess grade and</w:t>
      </w:r>
      <w:r>
        <w:rPr>
          <w:color w:val="231F20"/>
          <w:spacing w:val="-25"/>
          <w:sz w:val="18"/>
        </w:rPr>
        <w:t xml:space="preserve"> </w:t>
      </w:r>
      <w:r>
        <w:rPr>
          <w:color w:val="231F20"/>
          <w:sz w:val="18"/>
        </w:rPr>
        <w:t>out- come. Surg Neurol</w:t>
      </w:r>
      <w:r>
        <w:rPr>
          <w:color w:val="231F20"/>
          <w:spacing w:val="-2"/>
          <w:sz w:val="18"/>
        </w:rPr>
        <w:t xml:space="preserve"> </w:t>
      </w:r>
      <w:r>
        <w:rPr>
          <w:color w:val="231F20"/>
          <w:sz w:val="18"/>
        </w:rPr>
        <w:t>55:197-203.</w:t>
      </w:r>
    </w:p>
    <w:p>
      <w:pPr>
        <w:spacing w:before="1" w:line="266" w:lineRule="auto"/>
        <w:ind w:left="287" w:right="41" w:hanging="171"/>
        <w:jc w:val="both"/>
        <w:rPr>
          <w:sz w:val="18"/>
        </w:rPr>
      </w:pPr>
      <w:r>
        <w:rPr>
          <w:color w:val="231F20"/>
          <w:sz w:val="18"/>
        </w:rPr>
        <w:t>Okamura K (2014) Glasgow Coma Scale flow chart: a beginner's guide. Br J Nurs</w:t>
      </w:r>
      <w:r>
        <w:rPr>
          <w:color w:val="231F20"/>
          <w:spacing w:val="-3"/>
          <w:sz w:val="18"/>
        </w:rPr>
        <w:t xml:space="preserve"> </w:t>
      </w:r>
      <w:r>
        <w:rPr>
          <w:color w:val="231F20"/>
          <w:sz w:val="18"/>
        </w:rPr>
        <w:t>23:1068-1073.</w:t>
      </w:r>
    </w:p>
    <w:p>
      <w:pPr>
        <w:spacing w:before="1" w:line="266" w:lineRule="auto"/>
        <w:ind w:left="287" w:right="39" w:hanging="171"/>
        <w:jc w:val="both"/>
        <w:rPr>
          <w:sz w:val="18"/>
        </w:rPr>
      </w:pPr>
      <w:r>
        <w:rPr>
          <w:color w:val="231F20"/>
          <w:sz w:val="18"/>
        </w:rPr>
        <w:t>Rabinstein</w:t>
      </w:r>
      <w:r>
        <w:rPr>
          <w:color w:val="231F20"/>
          <w:spacing w:val="-14"/>
          <w:sz w:val="18"/>
        </w:rPr>
        <w:t xml:space="preserve"> </w:t>
      </w:r>
      <w:r>
        <w:rPr>
          <w:color w:val="231F20"/>
          <w:sz w:val="18"/>
        </w:rPr>
        <w:t>AA</w:t>
      </w:r>
      <w:r>
        <w:rPr>
          <w:color w:val="231F20"/>
          <w:spacing w:val="-14"/>
          <w:sz w:val="18"/>
        </w:rPr>
        <w:t xml:space="preserve"> </w:t>
      </w:r>
      <w:r>
        <w:rPr>
          <w:color w:val="231F20"/>
          <w:sz w:val="18"/>
        </w:rPr>
        <w:t>(2011)</w:t>
      </w:r>
      <w:r>
        <w:rPr>
          <w:color w:val="231F20"/>
          <w:spacing w:val="-4"/>
          <w:sz w:val="18"/>
        </w:rPr>
        <w:t xml:space="preserve"> </w:t>
      </w:r>
      <w:r>
        <w:rPr>
          <w:color w:val="231F20"/>
          <w:sz w:val="18"/>
        </w:rPr>
        <w:t>Secondary</w:t>
      </w:r>
      <w:r>
        <w:rPr>
          <w:color w:val="231F20"/>
          <w:spacing w:val="-5"/>
          <w:sz w:val="18"/>
        </w:rPr>
        <w:t xml:space="preserve"> </w:t>
      </w:r>
      <w:r>
        <w:rPr>
          <w:color w:val="231F20"/>
          <w:sz w:val="18"/>
        </w:rPr>
        <w:t>brain</w:t>
      </w:r>
      <w:r>
        <w:rPr>
          <w:color w:val="231F20"/>
          <w:spacing w:val="-4"/>
          <w:sz w:val="18"/>
        </w:rPr>
        <w:t xml:space="preserve"> </w:t>
      </w:r>
      <w:r>
        <w:rPr>
          <w:color w:val="231F20"/>
          <w:sz w:val="18"/>
        </w:rPr>
        <w:t>injury</w:t>
      </w:r>
      <w:r>
        <w:rPr>
          <w:color w:val="231F20"/>
          <w:spacing w:val="-5"/>
          <w:sz w:val="18"/>
        </w:rPr>
        <w:t xml:space="preserve"> </w:t>
      </w:r>
      <w:r>
        <w:rPr>
          <w:color w:val="231F20"/>
          <w:sz w:val="18"/>
        </w:rPr>
        <w:t>after</w:t>
      </w:r>
      <w:r>
        <w:rPr>
          <w:color w:val="231F20"/>
          <w:spacing w:val="-4"/>
          <w:sz w:val="18"/>
        </w:rPr>
        <w:t xml:space="preserve"> </w:t>
      </w:r>
      <w:r>
        <w:rPr>
          <w:color w:val="231F20"/>
          <w:sz w:val="18"/>
        </w:rPr>
        <w:t>aneurysmal</w:t>
      </w:r>
      <w:r>
        <w:rPr>
          <w:color w:val="231F20"/>
          <w:spacing w:val="-4"/>
          <w:sz w:val="18"/>
        </w:rPr>
        <w:t xml:space="preserve"> </w:t>
      </w:r>
      <w:r>
        <w:rPr>
          <w:color w:val="231F20"/>
          <w:sz w:val="18"/>
        </w:rPr>
        <w:t>sub- arachnoid haemorrhage: more than vasospasm. Lancet Neurol 10:593-595.</w:t>
      </w:r>
    </w:p>
    <w:p>
      <w:pPr>
        <w:spacing w:before="0" w:line="266" w:lineRule="auto"/>
        <w:ind w:left="287" w:right="38" w:hanging="171"/>
        <w:jc w:val="both"/>
        <w:rPr>
          <w:sz w:val="18"/>
        </w:rPr>
      </w:pPr>
      <w:r>
        <w:rPr>
          <w:color w:val="231F20"/>
          <w:sz w:val="18"/>
        </w:rPr>
        <w:t>Smith A, Wu AHB, Lynch KL, Ko N, Grenache DG (2013) Multi- wavelength spectrophotometric analysis for detection of xantho- chromia in cerebrospinal fluid and accuracy for the diagnosis of subarachnoid hemorrhage. Clin Chim Acta 424:231-236.</w:t>
      </w:r>
    </w:p>
    <w:p>
      <w:pPr>
        <w:spacing w:before="1" w:line="266" w:lineRule="auto"/>
        <w:ind w:left="287" w:right="39" w:hanging="171"/>
        <w:jc w:val="both"/>
        <w:rPr>
          <w:sz w:val="18"/>
        </w:rPr>
      </w:pPr>
      <w:r>
        <w:rPr>
          <w:color w:val="231F20"/>
          <w:sz w:val="18"/>
        </w:rPr>
        <w:t>Sobey CG, Faraci FM (1998) Subarachnoid haemorrhage: what happens to the cerebral arteries? Clin Exp Pharmacol Physiol 25: 867-876.</w:t>
      </w:r>
    </w:p>
    <w:p>
      <w:pPr>
        <w:spacing w:before="1" w:line="266" w:lineRule="auto"/>
        <w:ind w:left="287" w:right="39" w:hanging="171"/>
        <w:jc w:val="both"/>
        <w:rPr>
          <w:sz w:val="18"/>
        </w:rPr>
      </w:pPr>
      <w:r>
        <w:rPr>
          <w:color w:val="231F20"/>
          <w:sz w:val="18"/>
        </w:rPr>
        <w:t>Soininen K, Niemi M, Kilkki E, Strandberg T, Kivist KT (2006) Muscle symptoms associated with statins: a series of twenty pa- tients. Basic Clin Pharmacol Toxicol 98:51-54.</w:t>
      </w:r>
    </w:p>
    <w:p>
      <w:pPr>
        <w:spacing w:before="1" w:line="266" w:lineRule="auto"/>
        <w:ind w:left="287" w:right="39" w:hanging="171"/>
        <w:jc w:val="both"/>
        <w:rPr>
          <w:sz w:val="18"/>
        </w:rPr>
      </w:pPr>
      <w:r>
        <w:rPr>
          <w:color w:val="231F20"/>
          <w:sz w:val="18"/>
        </w:rPr>
        <w:t>Suarez JI (2015) Diagnosis and management of subarachnoid hem- orrhage. Continuum (Minneap Minn) 21:1263-1287.</w:t>
      </w:r>
    </w:p>
    <w:p>
      <w:pPr>
        <w:spacing w:before="0" w:line="266" w:lineRule="auto"/>
        <w:ind w:left="287" w:right="38" w:hanging="171"/>
        <w:jc w:val="both"/>
        <w:rPr>
          <w:sz w:val="18"/>
        </w:rPr>
      </w:pPr>
      <w:r>
        <w:rPr>
          <w:color w:val="231F20"/>
          <w:sz w:val="18"/>
        </w:rPr>
        <w:t xml:space="preserve">Tikkanen MJ, Fayyad R, Faergeman O, Olsson AG, </w:t>
      </w:r>
      <w:r>
        <w:rPr>
          <w:color w:val="231F20"/>
          <w:spacing w:val="-3"/>
          <w:sz w:val="18"/>
        </w:rPr>
        <w:t xml:space="preserve">Wun </w:t>
      </w:r>
      <w:r>
        <w:rPr>
          <w:color w:val="231F20"/>
          <w:sz w:val="18"/>
        </w:rPr>
        <w:t>CC, Las- key</w:t>
      </w:r>
      <w:r>
        <w:rPr>
          <w:color w:val="231F20"/>
          <w:spacing w:val="-8"/>
          <w:sz w:val="18"/>
        </w:rPr>
        <w:t xml:space="preserve"> </w:t>
      </w:r>
      <w:r>
        <w:rPr>
          <w:color w:val="231F20"/>
          <w:sz w:val="18"/>
        </w:rPr>
        <w:t>R,</w:t>
      </w:r>
      <w:r>
        <w:rPr>
          <w:color w:val="231F20"/>
          <w:spacing w:val="-7"/>
          <w:sz w:val="18"/>
        </w:rPr>
        <w:t xml:space="preserve"> </w:t>
      </w:r>
      <w:r>
        <w:rPr>
          <w:color w:val="231F20"/>
          <w:sz w:val="18"/>
        </w:rPr>
        <w:t>Kastelein</w:t>
      </w:r>
      <w:r>
        <w:rPr>
          <w:color w:val="231F20"/>
          <w:spacing w:val="-7"/>
          <w:sz w:val="18"/>
        </w:rPr>
        <w:t xml:space="preserve"> </w:t>
      </w:r>
      <w:r>
        <w:rPr>
          <w:color w:val="231F20"/>
          <w:sz w:val="18"/>
        </w:rPr>
        <w:t>JJ,</w:t>
      </w:r>
      <w:r>
        <w:rPr>
          <w:color w:val="231F20"/>
          <w:spacing w:val="-7"/>
          <w:sz w:val="18"/>
        </w:rPr>
        <w:t xml:space="preserve"> </w:t>
      </w:r>
      <w:r>
        <w:rPr>
          <w:color w:val="231F20"/>
          <w:sz w:val="18"/>
        </w:rPr>
        <w:t>Holme</w:t>
      </w:r>
      <w:r>
        <w:rPr>
          <w:color w:val="231F20"/>
          <w:spacing w:val="-7"/>
          <w:sz w:val="18"/>
        </w:rPr>
        <w:t xml:space="preserve"> </w:t>
      </w:r>
      <w:r>
        <w:rPr>
          <w:color w:val="231F20"/>
          <w:sz w:val="18"/>
        </w:rPr>
        <w:t>I,</w:t>
      </w:r>
      <w:r>
        <w:rPr>
          <w:color w:val="231F20"/>
          <w:spacing w:val="-7"/>
          <w:sz w:val="18"/>
        </w:rPr>
        <w:t xml:space="preserve"> </w:t>
      </w:r>
      <w:r>
        <w:rPr>
          <w:color w:val="231F20"/>
          <w:sz w:val="18"/>
        </w:rPr>
        <w:t>Pedersen</w:t>
      </w:r>
      <w:r>
        <w:rPr>
          <w:color w:val="231F20"/>
          <w:spacing w:val="-10"/>
          <w:sz w:val="18"/>
        </w:rPr>
        <w:t xml:space="preserve"> </w:t>
      </w:r>
      <w:r>
        <w:rPr>
          <w:color w:val="231F20"/>
          <w:sz w:val="18"/>
        </w:rPr>
        <w:t>TR</w:t>
      </w:r>
      <w:r>
        <w:rPr>
          <w:color w:val="231F20"/>
          <w:spacing w:val="-7"/>
          <w:sz w:val="18"/>
        </w:rPr>
        <w:t xml:space="preserve"> </w:t>
      </w:r>
      <w:r>
        <w:rPr>
          <w:color w:val="231F20"/>
          <w:sz w:val="18"/>
        </w:rPr>
        <w:t>(2013)</w:t>
      </w:r>
      <w:r>
        <w:rPr>
          <w:color w:val="231F20"/>
          <w:spacing w:val="-7"/>
          <w:sz w:val="18"/>
        </w:rPr>
        <w:t xml:space="preserve"> </w:t>
      </w:r>
      <w:r>
        <w:rPr>
          <w:color w:val="231F20"/>
          <w:sz w:val="18"/>
        </w:rPr>
        <w:t>Effect</w:t>
      </w:r>
      <w:r>
        <w:rPr>
          <w:color w:val="231F20"/>
          <w:spacing w:val="-7"/>
          <w:sz w:val="18"/>
        </w:rPr>
        <w:t xml:space="preserve"> </w:t>
      </w:r>
      <w:r>
        <w:rPr>
          <w:color w:val="231F20"/>
          <w:sz w:val="18"/>
        </w:rPr>
        <w:t>of</w:t>
      </w:r>
      <w:r>
        <w:rPr>
          <w:color w:val="231F20"/>
          <w:spacing w:val="-7"/>
          <w:sz w:val="18"/>
        </w:rPr>
        <w:t xml:space="preserve"> </w:t>
      </w:r>
      <w:r>
        <w:rPr>
          <w:color w:val="231F20"/>
          <w:sz w:val="18"/>
        </w:rPr>
        <w:t>inten- sive lipid lowering with atorvastatin on cardiovascular outcomes in coronary heart disease patients with mild-to-moderate base- line elevations in alanine aminotransferase levels. Int J Cardiol 168:3846-3852.</w:t>
      </w:r>
    </w:p>
    <w:p>
      <w:pPr>
        <w:spacing w:before="93" w:line="266" w:lineRule="auto"/>
        <w:ind w:left="287" w:right="114" w:hanging="171"/>
        <w:jc w:val="both"/>
        <w:rPr>
          <w:sz w:val="18"/>
        </w:rPr>
      </w:pPr>
      <w:r>
        <w:rPr>
          <w:color w:val="231F20"/>
          <w:sz w:val="18"/>
        </w:rPr>
        <w:t>Tseng MY, Czosnyka M, Richards H, Pickard JD, Kirkpatrick PJ (2005) Effects of acute treatment with pravastatin on cerebral vasospasm, autoregulation, and delayed ischemic deficits after aneurysmal subarachnoid hemorrhage: a phase II randomized placebo-controlled trial. Stroke 36:1627-1632.</w:t>
      </w:r>
    </w:p>
    <w:p>
      <w:pPr>
        <w:spacing w:before="1" w:line="266" w:lineRule="auto"/>
        <w:ind w:left="287" w:right="115" w:hanging="171"/>
        <w:jc w:val="both"/>
        <w:rPr>
          <w:sz w:val="18"/>
        </w:rPr>
      </w:pPr>
      <w:r>
        <w:rPr>
          <w:color w:val="231F20"/>
          <w:sz w:val="18"/>
        </w:rPr>
        <w:t>Ural</w:t>
      </w:r>
      <w:r>
        <w:rPr>
          <w:color w:val="231F20"/>
          <w:spacing w:val="-13"/>
          <w:sz w:val="18"/>
        </w:rPr>
        <w:t xml:space="preserve"> </w:t>
      </w:r>
      <w:r>
        <w:rPr>
          <w:color w:val="231F20"/>
          <w:sz w:val="18"/>
        </w:rPr>
        <w:t>AU,</w:t>
      </w:r>
      <w:r>
        <w:rPr>
          <w:color w:val="231F20"/>
          <w:spacing w:val="-11"/>
          <w:sz w:val="18"/>
        </w:rPr>
        <w:t xml:space="preserve"> </w:t>
      </w:r>
      <w:r>
        <w:rPr>
          <w:color w:val="231F20"/>
          <w:spacing w:val="-4"/>
          <w:sz w:val="18"/>
        </w:rPr>
        <w:t>Avcu</w:t>
      </w:r>
      <w:r>
        <w:rPr>
          <w:color w:val="231F20"/>
          <w:spacing w:val="-1"/>
          <w:sz w:val="18"/>
        </w:rPr>
        <w:t xml:space="preserve"> </w:t>
      </w:r>
      <w:r>
        <w:rPr>
          <w:color w:val="231F20"/>
          <w:sz w:val="18"/>
        </w:rPr>
        <w:t>F</w:t>
      </w:r>
      <w:r>
        <w:rPr>
          <w:color w:val="231F20"/>
          <w:spacing w:val="-3"/>
          <w:sz w:val="18"/>
        </w:rPr>
        <w:t xml:space="preserve"> </w:t>
      </w:r>
      <w:r>
        <w:rPr>
          <w:color w:val="231F20"/>
          <w:sz w:val="18"/>
        </w:rPr>
        <w:t>(2006)</w:t>
      </w:r>
      <w:r>
        <w:rPr>
          <w:color w:val="231F20"/>
          <w:spacing w:val="-1"/>
          <w:sz w:val="18"/>
        </w:rPr>
        <w:t xml:space="preserve"> </w:t>
      </w:r>
      <w:r>
        <w:rPr>
          <w:color w:val="231F20"/>
          <w:sz w:val="18"/>
        </w:rPr>
        <w:t>HMG-CoA</w:t>
      </w:r>
      <w:r>
        <w:rPr>
          <w:color w:val="231F20"/>
          <w:spacing w:val="-11"/>
          <w:sz w:val="18"/>
        </w:rPr>
        <w:t xml:space="preserve"> </w:t>
      </w:r>
      <w:r>
        <w:rPr>
          <w:color w:val="231F20"/>
          <w:sz w:val="18"/>
        </w:rPr>
        <w:t>reductase</w:t>
      </w:r>
      <w:r>
        <w:rPr>
          <w:color w:val="231F20"/>
          <w:spacing w:val="-3"/>
          <w:sz w:val="18"/>
        </w:rPr>
        <w:t xml:space="preserve"> </w:t>
      </w:r>
      <w:r>
        <w:rPr>
          <w:color w:val="231F20"/>
          <w:sz w:val="18"/>
        </w:rPr>
        <w:t>inhibitors</w:t>
      </w:r>
      <w:r>
        <w:rPr>
          <w:color w:val="231F20"/>
          <w:spacing w:val="-2"/>
          <w:sz w:val="18"/>
        </w:rPr>
        <w:t xml:space="preserve"> </w:t>
      </w:r>
      <w:r>
        <w:rPr>
          <w:color w:val="231F20"/>
          <w:sz w:val="18"/>
        </w:rPr>
        <w:t>may</w:t>
      </w:r>
      <w:r>
        <w:rPr>
          <w:color w:val="231F20"/>
          <w:spacing w:val="-2"/>
          <w:sz w:val="18"/>
        </w:rPr>
        <w:t xml:space="preserve"> </w:t>
      </w:r>
      <w:r>
        <w:rPr>
          <w:color w:val="231F20"/>
          <w:sz w:val="18"/>
        </w:rPr>
        <w:t>affect thrombin</w:t>
      </w:r>
      <w:r>
        <w:rPr>
          <w:color w:val="231F20"/>
          <w:spacing w:val="-7"/>
          <w:sz w:val="18"/>
        </w:rPr>
        <w:t xml:space="preserve"> </w:t>
      </w:r>
      <w:r>
        <w:rPr>
          <w:color w:val="231F20"/>
          <w:sz w:val="18"/>
        </w:rPr>
        <w:t>generation</w:t>
      </w:r>
      <w:r>
        <w:rPr>
          <w:color w:val="231F20"/>
          <w:spacing w:val="-6"/>
          <w:sz w:val="18"/>
        </w:rPr>
        <w:t xml:space="preserve"> </w:t>
      </w:r>
      <w:r>
        <w:rPr>
          <w:color w:val="231F20"/>
          <w:sz w:val="18"/>
        </w:rPr>
        <w:t>by</w:t>
      </w:r>
      <w:r>
        <w:rPr>
          <w:color w:val="231F20"/>
          <w:spacing w:val="-7"/>
          <w:sz w:val="18"/>
        </w:rPr>
        <w:t xml:space="preserve"> </w:t>
      </w:r>
      <w:r>
        <w:rPr>
          <w:color w:val="231F20"/>
          <w:sz w:val="18"/>
        </w:rPr>
        <w:t>reducing</w:t>
      </w:r>
      <w:r>
        <w:rPr>
          <w:color w:val="231F20"/>
          <w:spacing w:val="-6"/>
          <w:sz w:val="18"/>
        </w:rPr>
        <w:t xml:space="preserve"> </w:t>
      </w:r>
      <w:r>
        <w:rPr>
          <w:color w:val="231F20"/>
          <w:sz w:val="18"/>
        </w:rPr>
        <w:t>factor</w:t>
      </w:r>
      <w:r>
        <w:rPr>
          <w:color w:val="231F20"/>
          <w:spacing w:val="-10"/>
          <w:sz w:val="18"/>
        </w:rPr>
        <w:t xml:space="preserve"> </w:t>
      </w:r>
      <w:r>
        <w:rPr>
          <w:color w:val="231F20"/>
          <w:sz w:val="18"/>
        </w:rPr>
        <w:t>VII</w:t>
      </w:r>
      <w:r>
        <w:rPr>
          <w:color w:val="231F20"/>
          <w:spacing w:val="-6"/>
          <w:sz w:val="18"/>
        </w:rPr>
        <w:t xml:space="preserve"> </w:t>
      </w:r>
      <w:r>
        <w:rPr>
          <w:color w:val="231F20"/>
          <w:sz w:val="18"/>
        </w:rPr>
        <w:t>activity</w:t>
      </w:r>
      <w:r>
        <w:rPr>
          <w:color w:val="231F20"/>
          <w:spacing w:val="-7"/>
          <w:sz w:val="18"/>
        </w:rPr>
        <w:t xml:space="preserve"> </w:t>
      </w:r>
      <w:r>
        <w:rPr>
          <w:color w:val="231F20"/>
          <w:sz w:val="18"/>
        </w:rPr>
        <w:t>in</w:t>
      </w:r>
      <w:r>
        <w:rPr>
          <w:color w:val="231F20"/>
          <w:spacing w:val="-6"/>
          <w:sz w:val="18"/>
        </w:rPr>
        <w:t xml:space="preserve"> </w:t>
      </w:r>
      <w:r>
        <w:rPr>
          <w:color w:val="231F20"/>
          <w:sz w:val="18"/>
        </w:rPr>
        <w:t>hyperlipid- emic patients. Thromb Res</w:t>
      </w:r>
      <w:r>
        <w:rPr>
          <w:color w:val="231F20"/>
          <w:spacing w:val="-5"/>
          <w:sz w:val="18"/>
        </w:rPr>
        <w:t xml:space="preserve"> </w:t>
      </w:r>
      <w:r>
        <w:rPr>
          <w:color w:val="231F20"/>
          <w:sz w:val="18"/>
        </w:rPr>
        <w:t>118:665-666.</w:t>
      </w:r>
    </w:p>
    <w:p>
      <w:pPr>
        <w:spacing w:before="1" w:line="266" w:lineRule="auto"/>
        <w:ind w:left="287" w:right="115" w:hanging="171"/>
        <w:jc w:val="both"/>
        <w:rPr>
          <w:sz w:val="18"/>
        </w:rPr>
      </w:pPr>
      <w:r>
        <w:rPr>
          <w:color w:val="231F20"/>
          <w:spacing w:val="-3"/>
          <w:sz w:val="18"/>
        </w:rPr>
        <w:t xml:space="preserve">Vergouwen </w:t>
      </w:r>
      <w:r>
        <w:rPr>
          <w:color w:val="231F20"/>
          <w:sz w:val="18"/>
        </w:rPr>
        <w:t xml:space="preserve">MD, Meijers JC, Geskus RB, Coert BA, Horn J, Stroes ES, van der Poll </w:t>
      </w:r>
      <w:r>
        <w:rPr>
          <w:color w:val="231F20"/>
          <w:spacing w:val="-7"/>
          <w:sz w:val="18"/>
        </w:rPr>
        <w:t xml:space="preserve">T, </w:t>
      </w:r>
      <w:r>
        <w:rPr>
          <w:color w:val="231F20"/>
          <w:spacing w:val="-3"/>
          <w:sz w:val="18"/>
        </w:rPr>
        <w:t xml:space="preserve">Vermeulen </w:t>
      </w:r>
      <w:r>
        <w:rPr>
          <w:color w:val="231F20"/>
          <w:sz w:val="18"/>
        </w:rPr>
        <w:t>M, Roos YB (2009) Biologic ef- fects of simvastatin in patients with aneurysmal subarachnoid hemorrhage:</w:t>
      </w:r>
      <w:r>
        <w:rPr>
          <w:color w:val="231F20"/>
          <w:spacing w:val="-8"/>
          <w:sz w:val="18"/>
        </w:rPr>
        <w:t xml:space="preserve"> </w:t>
      </w:r>
      <w:r>
        <w:rPr>
          <w:color w:val="231F20"/>
          <w:sz w:val="18"/>
        </w:rPr>
        <w:t>a</w:t>
      </w:r>
      <w:r>
        <w:rPr>
          <w:color w:val="231F20"/>
          <w:spacing w:val="-7"/>
          <w:sz w:val="18"/>
        </w:rPr>
        <w:t xml:space="preserve"> </w:t>
      </w:r>
      <w:r>
        <w:rPr>
          <w:color w:val="231F20"/>
          <w:sz w:val="18"/>
        </w:rPr>
        <w:t>double-blind,</w:t>
      </w:r>
      <w:r>
        <w:rPr>
          <w:color w:val="231F20"/>
          <w:spacing w:val="-7"/>
          <w:sz w:val="18"/>
        </w:rPr>
        <w:t xml:space="preserve"> </w:t>
      </w:r>
      <w:r>
        <w:rPr>
          <w:color w:val="231F20"/>
          <w:sz w:val="18"/>
        </w:rPr>
        <w:t>placebo-controlled</w:t>
      </w:r>
      <w:r>
        <w:rPr>
          <w:color w:val="231F20"/>
          <w:spacing w:val="-8"/>
          <w:sz w:val="18"/>
        </w:rPr>
        <w:t xml:space="preserve"> </w:t>
      </w:r>
      <w:r>
        <w:rPr>
          <w:color w:val="231F20"/>
          <w:sz w:val="18"/>
        </w:rPr>
        <w:t>randomized</w:t>
      </w:r>
      <w:r>
        <w:rPr>
          <w:color w:val="231F20"/>
          <w:spacing w:val="-7"/>
          <w:sz w:val="18"/>
        </w:rPr>
        <w:t xml:space="preserve"> </w:t>
      </w:r>
      <w:r>
        <w:rPr>
          <w:color w:val="231F20"/>
          <w:sz w:val="18"/>
        </w:rPr>
        <w:t>trial. J Cereb Blood Flow Metab</w:t>
      </w:r>
      <w:r>
        <w:rPr>
          <w:color w:val="231F20"/>
          <w:spacing w:val="-4"/>
          <w:sz w:val="18"/>
        </w:rPr>
        <w:t xml:space="preserve"> </w:t>
      </w:r>
      <w:r>
        <w:rPr>
          <w:color w:val="231F20"/>
          <w:sz w:val="18"/>
        </w:rPr>
        <w:t>29:1444-1453.</w:t>
      </w:r>
    </w:p>
    <w:p>
      <w:pPr>
        <w:spacing w:before="1" w:line="266" w:lineRule="auto"/>
        <w:ind w:left="287" w:right="115" w:hanging="171"/>
        <w:jc w:val="both"/>
        <w:rPr>
          <w:sz w:val="18"/>
        </w:rPr>
      </w:pPr>
      <w:r>
        <w:rPr>
          <w:color w:val="231F20"/>
          <w:spacing w:val="-3"/>
          <w:sz w:val="18"/>
        </w:rPr>
        <w:t>Welty</w:t>
      </w:r>
      <w:r>
        <w:rPr>
          <w:color w:val="231F20"/>
          <w:spacing w:val="-13"/>
          <w:sz w:val="18"/>
        </w:rPr>
        <w:t xml:space="preserve"> </w:t>
      </w:r>
      <w:r>
        <w:rPr>
          <w:color w:val="231F20"/>
          <w:sz w:val="18"/>
        </w:rPr>
        <w:t>TE,</w:t>
      </w:r>
      <w:r>
        <w:rPr>
          <w:color w:val="231F20"/>
          <w:spacing w:val="-11"/>
          <w:sz w:val="18"/>
        </w:rPr>
        <w:t xml:space="preserve"> </w:t>
      </w:r>
      <w:r>
        <w:rPr>
          <w:color w:val="231F20"/>
          <w:sz w:val="18"/>
        </w:rPr>
        <w:t>Horner</w:t>
      </w:r>
      <w:r>
        <w:rPr>
          <w:color w:val="231F20"/>
          <w:spacing w:val="-13"/>
          <w:sz w:val="18"/>
        </w:rPr>
        <w:t xml:space="preserve"> </w:t>
      </w:r>
      <w:r>
        <w:rPr>
          <w:color w:val="231F20"/>
          <w:sz w:val="18"/>
        </w:rPr>
        <w:t>TG</w:t>
      </w:r>
      <w:r>
        <w:rPr>
          <w:color w:val="231F20"/>
          <w:spacing w:val="-10"/>
          <w:sz w:val="18"/>
        </w:rPr>
        <w:t xml:space="preserve"> </w:t>
      </w:r>
      <w:r>
        <w:rPr>
          <w:color w:val="231F20"/>
          <w:sz w:val="18"/>
        </w:rPr>
        <w:t>(1990)</w:t>
      </w:r>
      <w:r>
        <w:rPr>
          <w:color w:val="231F20"/>
          <w:spacing w:val="-10"/>
          <w:sz w:val="18"/>
        </w:rPr>
        <w:t xml:space="preserve"> </w:t>
      </w:r>
      <w:r>
        <w:rPr>
          <w:color w:val="231F20"/>
          <w:sz w:val="18"/>
        </w:rPr>
        <w:t>Pathophysiology</w:t>
      </w:r>
      <w:r>
        <w:rPr>
          <w:color w:val="231F20"/>
          <w:spacing w:val="-10"/>
          <w:sz w:val="18"/>
        </w:rPr>
        <w:t xml:space="preserve"> </w:t>
      </w:r>
      <w:r>
        <w:rPr>
          <w:color w:val="231F20"/>
          <w:sz w:val="18"/>
        </w:rPr>
        <w:t>and</w:t>
      </w:r>
      <w:r>
        <w:rPr>
          <w:color w:val="231F20"/>
          <w:spacing w:val="-10"/>
          <w:sz w:val="18"/>
        </w:rPr>
        <w:t xml:space="preserve"> </w:t>
      </w:r>
      <w:r>
        <w:rPr>
          <w:color w:val="231F20"/>
          <w:sz w:val="18"/>
        </w:rPr>
        <w:t>treatment</w:t>
      </w:r>
      <w:r>
        <w:rPr>
          <w:color w:val="231F20"/>
          <w:spacing w:val="-10"/>
          <w:sz w:val="18"/>
        </w:rPr>
        <w:t xml:space="preserve"> </w:t>
      </w:r>
      <w:r>
        <w:rPr>
          <w:color w:val="231F20"/>
          <w:sz w:val="18"/>
        </w:rPr>
        <w:t>of</w:t>
      </w:r>
      <w:r>
        <w:rPr>
          <w:color w:val="231F20"/>
          <w:spacing w:val="-11"/>
          <w:sz w:val="18"/>
        </w:rPr>
        <w:t xml:space="preserve"> </w:t>
      </w:r>
      <w:r>
        <w:rPr>
          <w:color w:val="231F20"/>
          <w:sz w:val="18"/>
        </w:rPr>
        <w:t>sub- arachnoid hemorrhage. Clin Pharm</w:t>
      </w:r>
      <w:r>
        <w:rPr>
          <w:color w:val="231F20"/>
          <w:spacing w:val="-2"/>
          <w:sz w:val="18"/>
        </w:rPr>
        <w:t xml:space="preserve"> </w:t>
      </w:r>
      <w:r>
        <w:rPr>
          <w:color w:val="231F20"/>
          <w:sz w:val="18"/>
        </w:rPr>
        <w:t>9:35-39.</w:t>
      </w:r>
    </w:p>
    <w:p>
      <w:pPr>
        <w:spacing w:before="1" w:line="266" w:lineRule="auto"/>
        <w:ind w:left="79" w:right="114" w:firstLine="0"/>
        <w:jc w:val="right"/>
        <w:rPr>
          <w:sz w:val="18"/>
        </w:rPr>
      </w:pPr>
      <w:r>
        <w:rPr>
          <w:color w:val="231F20"/>
          <w:sz w:val="18"/>
        </w:rPr>
        <w:t>Wilson</w:t>
      </w:r>
      <w:r>
        <w:rPr>
          <w:color w:val="231F20"/>
          <w:spacing w:val="-14"/>
          <w:sz w:val="18"/>
        </w:rPr>
        <w:t xml:space="preserve"> </w:t>
      </w:r>
      <w:r>
        <w:rPr>
          <w:color w:val="231F20"/>
          <w:spacing w:val="-5"/>
          <w:sz w:val="18"/>
        </w:rPr>
        <w:t>JT,</w:t>
      </w:r>
      <w:r>
        <w:rPr>
          <w:color w:val="231F20"/>
          <w:spacing w:val="-14"/>
          <w:sz w:val="18"/>
        </w:rPr>
        <w:t xml:space="preserve"> </w:t>
      </w:r>
      <w:r>
        <w:rPr>
          <w:color w:val="231F20"/>
          <w:sz w:val="18"/>
        </w:rPr>
        <w:t>Pettigrew</w:t>
      </w:r>
      <w:r>
        <w:rPr>
          <w:color w:val="231F20"/>
          <w:spacing w:val="-14"/>
          <w:sz w:val="18"/>
        </w:rPr>
        <w:t xml:space="preserve"> </w:t>
      </w:r>
      <w:r>
        <w:rPr>
          <w:color w:val="231F20"/>
          <w:sz w:val="18"/>
        </w:rPr>
        <w:t>LE,</w:t>
      </w:r>
      <w:r>
        <w:rPr>
          <w:color w:val="231F20"/>
          <w:spacing w:val="-18"/>
          <w:sz w:val="18"/>
        </w:rPr>
        <w:t xml:space="preserve"> </w:t>
      </w:r>
      <w:r>
        <w:rPr>
          <w:color w:val="231F20"/>
          <w:sz w:val="18"/>
        </w:rPr>
        <w:t>Teasdale</w:t>
      </w:r>
      <w:r>
        <w:rPr>
          <w:color w:val="231F20"/>
          <w:spacing w:val="-14"/>
          <w:sz w:val="18"/>
        </w:rPr>
        <w:t xml:space="preserve"> </w:t>
      </w:r>
      <w:r>
        <w:rPr>
          <w:color w:val="231F20"/>
          <w:sz w:val="18"/>
        </w:rPr>
        <w:t>GM</w:t>
      </w:r>
      <w:r>
        <w:rPr>
          <w:color w:val="231F20"/>
          <w:spacing w:val="-14"/>
          <w:sz w:val="18"/>
        </w:rPr>
        <w:t xml:space="preserve"> </w:t>
      </w:r>
      <w:r>
        <w:rPr>
          <w:color w:val="231F20"/>
          <w:sz w:val="18"/>
        </w:rPr>
        <w:t>(1998)</w:t>
      </w:r>
      <w:r>
        <w:rPr>
          <w:color w:val="231F20"/>
          <w:spacing w:val="-14"/>
          <w:sz w:val="18"/>
        </w:rPr>
        <w:t xml:space="preserve"> </w:t>
      </w:r>
      <w:r>
        <w:rPr>
          <w:color w:val="231F20"/>
          <w:sz w:val="18"/>
        </w:rPr>
        <w:t>Structured</w:t>
      </w:r>
      <w:r>
        <w:rPr>
          <w:color w:val="231F20"/>
          <w:spacing w:val="-13"/>
          <w:sz w:val="18"/>
        </w:rPr>
        <w:t xml:space="preserve"> </w:t>
      </w:r>
      <w:r>
        <w:rPr>
          <w:color w:val="231F20"/>
          <w:sz w:val="18"/>
        </w:rPr>
        <w:t>interviews for the Glasgow Outcome Scale and the extended</w:t>
      </w:r>
      <w:r>
        <w:rPr>
          <w:color w:val="231F20"/>
          <w:spacing w:val="35"/>
          <w:sz w:val="18"/>
        </w:rPr>
        <w:t xml:space="preserve"> </w:t>
      </w:r>
      <w:r>
        <w:rPr>
          <w:color w:val="231F20"/>
          <w:sz w:val="18"/>
        </w:rPr>
        <w:t>Glasgow</w:t>
      </w:r>
      <w:r>
        <w:rPr>
          <w:color w:val="231F20"/>
          <w:spacing w:val="5"/>
          <w:sz w:val="18"/>
        </w:rPr>
        <w:t xml:space="preserve"> </w:t>
      </w:r>
      <w:r>
        <w:rPr>
          <w:color w:val="231F20"/>
          <w:sz w:val="18"/>
        </w:rPr>
        <w:t>Out- come Scale: guidelines for their use. J</w:t>
      </w:r>
      <w:r>
        <w:rPr>
          <w:color w:val="231F20"/>
          <w:spacing w:val="-16"/>
          <w:sz w:val="18"/>
        </w:rPr>
        <w:t xml:space="preserve"> </w:t>
      </w:r>
      <w:r>
        <w:rPr>
          <w:color w:val="231F20"/>
          <w:sz w:val="18"/>
        </w:rPr>
        <w:t>Neurotrauma</w:t>
      </w:r>
      <w:r>
        <w:rPr>
          <w:color w:val="231F20"/>
          <w:spacing w:val="-2"/>
          <w:sz w:val="18"/>
        </w:rPr>
        <w:t xml:space="preserve"> </w:t>
      </w:r>
      <w:r>
        <w:rPr>
          <w:color w:val="231F20"/>
          <w:sz w:val="18"/>
        </w:rPr>
        <w:t xml:space="preserve">15:573-585. </w:t>
      </w:r>
      <w:r>
        <w:rPr>
          <w:color w:val="231F20"/>
          <w:spacing w:val="-3"/>
          <w:sz w:val="18"/>
        </w:rPr>
        <w:t xml:space="preserve">Yoshimura </w:t>
      </w:r>
      <w:r>
        <w:rPr>
          <w:color w:val="231F20"/>
          <w:spacing w:val="-12"/>
          <w:sz w:val="18"/>
        </w:rPr>
        <w:t xml:space="preserve">Y, </w:t>
      </w:r>
      <w:r>
        <w:rPr>
          <w:color w:val="231F20"/>
          <w:sz w:val="18"/>
        </w:rPr>
        <w:t xml:space="preserve">Murakami </w:t>
      </w:r>
      <w:r>
        <w:rPr>
          <w:color w:val="231F20"/>
          <w:spacing w:val="-12"/>
          <w:sz w:val="18"/>
        </w:rPr>
        <w:t xml:space="preserve">Y, </w:t>
      </w:r>
      <w:r>
        <w:rPr>
          <w:color w:val="231F20"/>
          <w:sz w:val="18"/>
        </w:rPr>
        <w:t xml:space="preserve">Saitoh M, </w:t>
      </w:r>
      <w:r>
        <w:rPr>
          <w:color w:val="231F20"/>
          <w:spacing w:val="-4"/>
          <w:sz w:val="18"/>
        </w:rPr>
        <w:t xml:space="preserve">Yokoi </w:t>
      </w:r>
      <w:r>
        <w:rPr>
          <w:color w:val="231F20"/>
          <w:spacing w:val="-7"/>
          <w:sz w:val="18"/>
        </w:rPr>
        <w:t xml:space="preserve">T, </w:t>
      </w:r>
      <w:r>
        <w:rPr>
          <w:color w:val="231F20"/>
          <w:sz w:val="18"/>
        </w:rPr>
        <w:t xml:space="preserve">Aoki </w:t>
      </w:r>
      <w:r>
        <w:rPr>
          <w:color w:val="231F20"/>
          <w:spacing w:val="-7"/>
          <w:sz w:val="18"/>
        </w:rPr>
        <w:t>T,</w:t>
      </w:r>
      <w:r>
        <w:rPr>
          <w:color w:val="231F20"/>
          <w:spacing w:val="-11"/>
          <w:sz w:val="18"/>
        </w:rPr>
        <w:t xml:space="preserve"> </w:t>
      </w:r>
      <w:r>
        <w:rPr>
          <w:color w:val="231F20"/>
          <w:sz w:val="18"/>
        </w:rPr>
        <w:t>Miura</w:t>
      </w:r>
      <w:r>
        <w:rPr>
          <w:color w:val="231F20"/>
          <w:spacing w:val="18"/>
          <w:sz w:val="18"/>
        </w:rPr>
        <w:t xml:space="preserve"> </w:t>
      </w:r>
      <w:r>
        <w:rPr>
          <w:color w:val="231F20"/>
          <w:sz w:val="18"/>
        </w:rPr>
        <w:t>K,</w:t>
      </w:r>
      <w:r>
        <w:rPr>
          <w:color w:val="231F20"/>
          <w:spacing w:val="-1"/>
          <w:sz w:val="18"/>
        </w:rPr>
        <w:t xml:space="preserve"> </w:t>
      </w:r>
      <w:r>
        <w:rPr>
          <w:color w:val="231F20"/>
          <w:sz w:val="18"/>
        </w:rPr>
        <w:t>Ueshima</w:t>
      </w:r>
      <w:r>
        <w:rPr>
          <w:color w:val="231F20"/>
          <w:spacing w:val="-12"/>
          <w:sz w:val="18"/>
        </w:rPr>
        <w:t xml:space="preserve"> </w:t>
      </w:r>
      <w:r>
        <w:rPr>
          <w:color w:val="231F20"/>
          <w:sz w:val="18"/>
        </w:rPr>
        <w:t>H,</w:t>
      </w:r>
      <w:r>
        <w:rPr>
          <w:color w:val="231F20"/>
          <w:spacing w:val="-11"/>
          <w:sz w:val="18"/>
        </w:rPr>
        <w:t xml:space="preserve"> </w:t>
      </w:r>
      <w:r>
        <w:rPr>
          <w:color w:val="231F20"/>
          <w:sz w:val="18"/>
        </w:rPr>
        <w:t>Nozaki</w:t>
      </w:r>
      <w:r>
        <w:rPr>
          <w:color w:val="231F20"/>
          <w:spacing w:val="-12"/>
          <w:sz w:val="18"/>
        </w:rPr>
        <w:t xml:space="preserve"> </w:t>
      </w:r>
      <w:r>
        <w:rPr>
          <w:color w:val="231F20"/>
          <w:sz w:val="18"/>
        </w:rPr>
        <w:t>K,</w:t>
      </w:r>
      <w:r>
        <w:rPr>
          <w:color w:val="231F20"/>
          <w:spacing w:val="-11"/>
          <w:sz w:val="18"/>
        </w:rPr>
        <w:t xml:space="preserve"> </w:t>
      </w:r>
      <w:r>
        <w:rPr>
          <w:color w:val="231F20"/>
          <w:sz w:val="18"/>
        </w:rPr>
        <w:t>SSS</w:t>
      </w:r>
      <w:r>
        <w:rPr>
          <w:color w:val="231F20"/>
          <w:spacing w:val="-11"/>
          <w:sz w:val="18"/>
        </w:rPr>
        <w:t xml:space="preserve"> </w:t>
      </w:r>
      <w:r>
        <w:rPr>
          <w:color w:val="231F20"/>
          <w:sz w:val="18"/>
        </w:rPr>
        <w:t>Research</w:t>
      </w:r>
      <w:r>
        <w:rPr>
          <w:color w:val="231F20"/>
          <w:spacing w:val="-12"/>
          <w:sz w:val="18"/>
        </w:rPr>
        <w:t xml:space="preserve"> </w:t>
      </w:r>
      <w:r>
        <w:rPr>
          <w:color w:val="231F20"/>
          <w:sz w:val="18"/>
        </w:rPr>
        <w:t>Group</w:t>
      </w:r>
      <w:r>
        <w:rPr>
          <w:color w:val="231F20"/>
          <w:spacing w:val="-11"/>
          <w:sz w:val="18"/>
        </w:rPr>
        <w:t xml:space="preserve"> </w:t>
      </w:r>
      <w:r>
        <w:rPr>
          <w:color w:val="231F20"/>
          <w:sz w:val="18"/>
        </w:rPr>
        <w:t>(2014)</w:t>
      </w:r>
      <w:r>
        <w:rPr>
          <w:color w:val="231F20"/>
          <w:spacing w:val="-12"/>
          <w:sz w:val="18"/>
        </w:rPr>
        <w:t xml:space="preserve"> </w:t>
      </w:r>
      <w:r>
        <w:rPr>
          <w:color w:val="231F20"/>
          <w:sz w:val="18"/>
        </w:rPr>
        <w:t>Statin</w:t>
      </w:r>
      <w:r>
        <w:rPr>
          <w:color w:val="231F20"/>
          <w:spacing w:val="-11"/>
          <w:sz w:val="18"/>
        </w:rPr>
        <w:t xml:space="preserve"> </w:t>
      </w:r>
      <w:r>
        <w:rPr>
          <w:color w:val="231F20"/>
          <w:sz w:val="18"/>
        </w:rPr>
        <w:t>use</w:t>
      </w:r>
      <w:r>
        <w:rPr>
          <w:color w:val="231F20"/>
          <w:spacing w:val="-11"/>
          <w:sz w:val="18"/>
        </w:rPr>
        <w:t xml:space="preserve"> </w:t>
      </w:r>
      <w:r>
        <w:rPr>
          <w:color w:val="231F20"/>
          <w:sz w:val="18"/>
        </w:rPr>
        <w:t>and risk</w:t>
      </w:r>
      <w:r>
        <w:rPr>
          <w:color w:val="231F20"/>
          <w:spacing w:val="15"/>
          <w:sz w:val="18"/>
        </w:rPr>
        <w:t xml:space="preserve"> </w:t>
      </w:r>
      <w:r>
        <w:rPr>
          <w:color w:val="231F20"/>
          <w:sz w:val="18"/>
        </w:rPr>
        <w:t>of</w:t>
      </w:r>
      <w:r>
        <w:rPr>
          <w:color w:val="231F20"/>
          <w:spacing w:val="15"/>
          <w:sz w:val="18"/>
        </w:rPr>
        <w:t xml:space="preserve"> </w:t>
      </w:r>
      <w:r>
        <w:rPr>
          <w:color w:val="231F20"/>
          <w:sz w:val="18"/>
        </w:rPr>
        <w:t>cerebral</w:t>
      </w:r>
      <w:r>
        <w:rPr>
          <w:color w:val="231F20"/>
          <w:spacing w:val="15"/>
          <w:sz w:val="18"/>
        </w:rPr>
        <w:t xml:space="preserve"> </w:t>
      </w:r>
      <w:r>
        <w:rPr>
          <w:color w:val="231F20"/>
          <w:sz w:val="18"/>
        </w:rPr>
        <w:t>aneurysm</w:t>
      </w:r>
      <w:r>
        <w:rPr>
          <w:color w:val="231F20"/>
          <w:spacing w:val="15"/>
          <w:sz w:val="18"/>
        </w:rPr>
        <w:t xml:space="preserve"> </w:t>
      </w:r>
      <w:r>
        <w:rPr>
          <w:color w:val="231F20"/>
          <w:sz w:val="18"/>
        </w:rPr>
        <w:t>rupture:</w:t>
      </w:r>
      <w:r>
        <w:rPr>
          <w:color w:val="231F20"/>
          <w:spacing w:val="15"/>
          <w:sz w:val="18"/>
        </w:rPr>
        <w:t xml:space="preserve"> </w:t>
      </w:r>
      <w:r>
        <w:rPr>
          <w:color w:val="231F20"/>
          <w:sz w:val="18"/>
        </w:rPr>
        <w:t>a</w:t>
      </w:r>
      <w:r>
        <w:rPr>
          <w:color w:val="231F20"/>
          <w:spacing w:val="15"/>
          <w:sz w:val="18"/>
        </w:rPr>
        <w:t xml:space="preserve"> </w:t>
      </w:r>
      <w:r>
        <w:rPr>
          <w:color w:val="231F20"/>
          <w:sz w:val="18"/>
        </w:rPr>
        <w:t>hospital-based</w:t>
      </w:r>
      <w:r>
        <w:rPr>
          <w:color w:val="231F20"/>
          <w:spacing w:val="15"/>
          <w:sz w:val="18"/>
        </w:rPr>
        <w:t xml:space="preserve"> </w:t>
      </w:r>
      <w:r>
        <w:rPr>
          <w:color w:val="231F20"/>
          <w:sz w:val="18"/>
        </w:rPr>
        <w:t>case-control</w:t>
      </w:r>
    </w:p>
    <w:p>
      <w:pPr>
        <w:spacing w:before="1"/>
        <w:ind w:left="287" w:right="0" w:firstLine="0"/>
        <w:jc w:val="left"/>
        <w:rPr>
          <w:sz w:val="18"/>
        </w:rPr>
      </w:pPr>
      <w:r>
        <w:rPr>
          <w:color w:val="231F20"/>
          <w:sz w:val="18"/>
        </w:rPr>
        <w:t>study in Japan. J Stroke Cerebrovasc Dis 23:343-348.</w:t>
      </w:r>
    </w:p>
    <w:p>
      <w:pPr>
        <w:spacing w:before="1" w:line="264" w:lineRule="auto"/>
        <w:ind w:left="287" w:right="115" w:hanging="171"/>
        <w:jc w:val="both"/>
        <w:rPr>
          <w:sz w:val="18"/>
        </w:rPr>
        <w:sectPr>
          <w:type w:val="continuous"/>
          <w:pgSz w:w="12240" w:h="15840"/>
          <w:pgMar w:top="480" w:right="960" w:bottom="280" w:left="960" w:header="720" w:footer="720" w:gutter="0"/>
          <w:cols w:equalWidth="0" w:num="2">
            <w:col w:w="5025" w:space="197"/>
            <w:col w:w="5098"/>
          </w:cols>
        </w:sectPr>
      </w:pPr>
    </w:p>
    <w:p>
      <w:pPr>
        <w:spacing w:before="1"/>
        <w:ind w:left="287" w:right="0" w:firstLine="0"/>
        <w:jc w:val="left"/>
        <w:rPr>
          <w:sz w:val="18"/>
        </w:rPr>
      </w:pPr>
    </w:p>
    <w:sectPr>
      <w:type w:val="continuous"/>
      <w:pgSz w:w="12240" w:h="15840"/>
      <w:pgMar w:top="480" w:right="960" w:bottom="280" w:left="960" w:header="720" w:footer="720" w:gutter="0"/>
      <w:cols w:equalWidth="0" w:num="2">
        <w:col w:w="5022" w:space="200"/>
        <w:col w:w="50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0"/>
      <w:numFmt w:val="bullet"/>
      <w:lvlText w:val="•"/>
      <w:lvlJc w:val="left"/>
      <w:pPr>
        <w:ind w:left="344" w:hanging="227"/>
      </w:pPr>
      <w:rPr>
        <w:rFonts w:hint="default" w:ascii="Times New Roman" w:hAnsi="Times New Roman" w:eastAsia="Times New Roman" w:cs="Times New Roman"/>
        <w:color w:val="231F20"/>
        <w:spacing w:val="-5"/>
        <w:w w:val="100"/>
        <w:sz w:val="21"/>
        <w:szCs w:val="21"/>
        <w:lang w:val="en-US" w:eastAsia="en-US" w:bidi="en-US"/>
      </w:rPr>
    </w:lvl>
    <w:lvl w:ilvl="1" w:tentative="0">
      <w:start w:val="0"/>
      <w:numFmt w:val="bullet"/>
      <w:lvlText w:val="•"/>
      <w:lvlJc w:val="left"/>
      <w:pPr>
        <w:ind w:left="815" w:hanging="227"/>
      </w:pPr>
      <w:rPr>
        <w:rFonts w:hint="default"/>
        <w:lang w:val="en-US" w:eastAsia="en-US" w:bidi="en-US"/>
      </w:rPr>
    </w:lvl>
    <w:lvl w:ilvl="2" w:tentative="0">
      <w:start w:val="0"/>
      <w:numFmt w:val="bullet"/>
      <w:lvlText w:val="•"/>
      <w:lvlJc w:val="left"/>
      <w:pPr>
        <w:ind w:left="1291" w:hanging="227"/>
      </w:pPr>
      <w:rPr>
        <w:rFonts w:hint="default"/>
        <w:lang w:val="en-US" w:eastAsia="en-US" w:bidi="en-US"/>
      </w:rPr>
    </w:lvl>
    <w:lvl w:ilvl="3" w:tentative="0">
      <w:start w:val="0"/>
      <w:numFmt w:val="bullet"/>
      <w:lvlText w:val="•"/>
      <w:lvlJc w:val="left"/>
      <w:pPr>
        <w:ind w:left="1767" w:hanging="227"/>
      </w:pPr>
      <w:rPr>
        <w:rFonts w:hint="default"/>
        <w:lang w:val="en-US" w:eastAsia="en-US" w:bidi="en-US"/>
      </w:rPr>
    </w:lvl>
    <w:lvl w:ilvl="4" w:tentative="0">
      <w:start w:val="0"/>
      <w:numFmt w:val="bullet"/>
      <w:lvlText w:val="•"/>
      <w:lvlJc w:val="left"/>
      <w:pPr>
        <w:ind w:left="2243" w:hanging="227"/>
      </w:pPr>
      <w:rPr>
        <w:rFonts w:hint="default"/>
        <w:lang w:val="en-US" w:eastAsia="en-US" w:bidi="en-US"/>
      </w:rPr>
    </w:lvl>
    <w:lvl w:ilvl="5" w:tentative="0">
      <w:start w:val="0"/>
      <w:numFmt w:val="bullet"/>
      <w:lvlText w:val="•"/>
      <w:lvlJc w:val="left"/>
      <w:pPr>
        <w:ind w:left="2718" w:hanging="227"/>
      </w:pPr>
      <w:rPr>
        <w:rFonts w:hint="default"/>
        <w:lang w:val="en-US" w:eastAsia="en-US" w:bidi="en-US"/>
      </w:rPr>
    </w:lvl>
    <w:lvl w:ilvl="6" w:tentative="0">
      <w:start w:val="0"/>
      <w:numFmt w:val="bullet"/>
      <w:lvlText w:val="•"/>
      <w:lvlJc w:val="left"/>
      <w:pPr>
        <w:ind w:left="3194" w:hanging="227"/>
      </w:pPr>
      <w:rPr>
        <w:rFonts w:hint="default"/>
        <w:lang w:val="en-US" w:eastAsia="en-US" w:bidi="en-US"/>
      </w:rPr>
    </w:lvl>
    <w:lvl w:ilvl="7" w:tentative="0">
      <w:start w:val="0"/>
      <w:numFmt w:val="bullet"/>
      <w:lvlText w:val="•"/>
      <w:lvlJc w:val="left"/>
      <w:pPr>
        <w:ind w:left="3670" w:hanging="227"/>
      </w:pPr>
      <w:rPr>
        <w:rFonts w:hint="default"/>
        <w:lang w:val="en-US" w:eastAsia="en-US" w:bidi="en-US"/>
      </w:rPr>
    </w:lvl>
    <w:lvl w:ilvl="8" w:tentative="0">
      <w:start w:val="0"/>
      <w:numFmt w:val="bullet"/>
      <w:lvlText w:val="•"/>
      <w:lvlJc w:val="left"/>
      <w:pPr>
        <w:ind w:left="4146" w:hanging="22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1"/>
  <w:bordersDoNotSurroundFooter w:val="1"/>
  <w:documentProtection w:enforcement="0"/>
  <w:defaultTabStop w:val="720"/>
  <w:evenAndOddHeaders w:val="1"/>
  <w:drawingGridHorizontalSpacing w:val="110"/>
  <w:displayHorizontalDrawingGridEvery w:val="0"/>
  <w:displayVerticalDrawingGridEvery w:val="2"/>
  <w:characterSpacingControl w:val="doNotCompress"/>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000000"/>
    <w:rsid w:val="03CC0328"/>
    <w:rsid w:val="138B2F1A"/>
    <w:rsid w:val="18D71356"/>
    <w:rsid w:val="251509C0"/>
    <w:rsid w:val="311310A4"/>
    <w:rsid w:val="3E4376ED"/>
    <w:rsid w:val="4A3621E4"/>
    <w:rsid w:val="53AA3B34"/>
    <w:rsid w:val="60510784"/>
    <w:rsid w:val="6F903AEC"/>
    <w:rsid w:val="7DCC0B85"/>
    <w:rsid w:val="7EA06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105"/>
      <w:ind w:left="100"/>
      <w:outlineLvl w:val="1"/>
    </w:pPr>
    <w:rPr>
      <w:rFonts w:ascii="Book Antiqua" w:hAnsi="Book Antiqua" w:eastAsia="Book Antiqua" w:cs="Book Antiqua"/>
      <w:b/>
      <w:bCs/>
      <w:sz w:val="22"/>
      <w:szCs w:val="22"/>
      <w:lang w:val="en-US" w:eastAsia="en-US" w:bidi="en-US"/>
    </w:rPr>
  </w:style>
  <w:style w:type="paragraph" w:styleId="3">
    <w:name w:val="heading 2"/>
    <w:basedOn w:val="1"/>
    <w:next w:val="1"/>
    <w:qFormat/>
    <w:uiPriority w:val="1"/>
    <w:pPr>
      <w:ind w:left="117"/>
      <w:outlineLvl w:val="2"/>
    </w:pPr>
    <w:rPr>
      <w:rFonts w:ascii="Calibri" w:hAnsi="Calibri" w:eastAsia="Calibri" w:cs="Calibri"/>
      <w:b/>
      <w:bCs/>
      <w:sz w:val="21"/>
      <w:szCs w:val="21"/>
      <w:lang w:val="en-US" w:eastAsia="en-US" w:bidi="en-US"/>
    </w:rPr>
  </w:style>
  <w:style w:type="paragraph" w:styleId="4">
    <w:name w:val="heading 3"/>
    <w:basedOn w:val="1"/>
    <w:next w:val="1"/>
    <w:qFormat/>
    <w:uiPriority w:val="1"/>
    <w:pPr>
      <w:ind w:left="117"/>
      <w:outlineLvl w:val="3"/>
    </w:pPr>
    <w:rPr>
      <w:rFonts w:ascii="Calibri" w:hAnsi="Calibri" w:eastAsia="Calibri" w:cs="Calibri"/>
      <w:b/>
      <w:bCs/>
      <w:i/>
      <w:sz w:val="21"/>
      <w:szCs w:val="21"/>
      <w:lang w:val="en-US" w:eastAsia="en-US" w:bidi="en-US"/>
    </w:rPr>
  </w:style>
  <w:style w:type="character" w:default="1" w:styleId="8">
    <w:name w:val="Default Paragraph Font"/>
    <w:semiHidden/>
    <w:unhideWhenUsed/>
    <w:uiPriority w:val="1"/>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1"/>
      <w:szCs w:val="21"/>
      <w:lang w:val="en-US" w:eastAsia="en-US" w:bidi="en-US"/>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
      <w:ind w:left="344" w:hanging="228"/>
    </w:pPr>
    <w:rPr>
      <w:rFonts w:ascii="Times New Roman" w:hAnsi="Times New Roman" w:eastAsia="Times New Roman" w:cs="Times New Roman"/>
      <w:lang w:val="en-US" w:eastAsia="en-US" w:bidi="en-US"/>
    </w:rPr>
  </w:style>
  <w:style w:type="paragraph" w:customStyle="1" w:styleId="11">
    <w:name w:val="Table Paragraph"/>
    <w:basedOn w:val="1"/>
    <w:qFormat/>
    <w:uiPriority w:val="1"/>
    <w:pPr>
      <w:spacing w:before="32"/>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tiff"/><Relationship Id="rId10" Type="http://schemas.openxmlformats.org/officeDocument/2006/relationships/image" Target="media/image1.tif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134"/>
    <customShpInfo spid="_x0000_s1135"/>
    <customShpInfo spid="_x0000_s1133"/>
    <customShpInfo spid="_x0000_s1046"/>
    <customShpInfo spid="_x0000_s1047"/>
    <customShpInfo spid="_x0000_s1045"/>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2019-12-28T03:16:00Z</dcterms:created>
  <dc:creator>Administrator</dc:creator>
  <cp:lastModifiedBy>青筇</cp:lastModifiedBy>
  <dcterms:modified xsi:type="dcterms:W3CDTF">2019-12-29T15:03:18Z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Creator">
    <vt:lpwstr>Adobe InDesign CS6 (Windows)</vt:lpwstr>
  </property>
  <property fmtid="{D5CDD505-2E9C-101B-9397-08002B2CF9AE}" pid="4" name="LastSaved">
    <vt:filetime>2019-12-28T00:00:00Z</vt:filetime>
  </property>
  <property fmtid="{D5CDD505-2E9C-101B-9397-08002B2CF9AE}" pid="5" name="KSOProductBuildVer">
    <vt:lpwstr>2052-11.1.0.9305</vt:lpwstr>
  </property>
</Properties>
</file>