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B8" w:rsidRDefault="002522B8" w:rsidP="00AD64B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Supplementary </w:t>
      </w:r>
      <w:r w:rsidR="00AD64B8"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 w:rsidR="00AD64B8" w:rsidRPr="00E6057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able </w:t>
      </w:r>
      <w:r w:rsidR="000C619E">
        <w:rPr>
          <w:rFonts w:ascii="Arial" w:eastAsia="Times New Roman" w:hAnsi="Arial" w:cs="Arial"/>
          <w:b/>
          <w:bCs/>
          <w:color w:val="000000"/>
          <w:sz w:val="20"/>
          <w:szCs w:val="20"/>
        </w:rPr>
        <w:t>1</w:t>
      </w:r>
      <w:bookmarkStart w:id="0" w:name="_GoBack"/>
      <w:bookmarkEnd w:id="0"/>
      <w:r w:rsidR="00AD64B8" w:rsidRPr="00F3157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proofErr w:type="gramEnd"/>
      <w:r w:rsidR="00AD64B8" w:rsidRPr="00F3157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AD64B8">
        <w:rPr>
          <w:rFonts w:ascii="Arial" w:eastAsia="Times New Roman" w:hAnsi="Arial" w:cs="Arial"/>
          <w:b/>
          <w:bCs/>
          <w:color w:val="000000"/>
          <w:sz w:val="20"/>
          <w:szCs w:val="20"/>
        </w:rPr>
        <w:t>Distribution of PCS and MCS by selected patient c</w:t>
      </w:r>
      <w:r w:rsidR="00AD64B8" w:rsidRPr="00F31573">
        <w:rPr>
          <w:rFonts w:ascii="Arial" w:eastAsia="Times New Roman" w:hAnsi="Arial" w:cs="Arial"/>
          <w:b/>
          <w:bCs/>
          <w:color w:val="000000"/>
          <w:sz w:val="20"/>
          <w:szCs w:val="20"/>
        </w:rPr>
        <w:t>haracteristics</w:t>
      </w:r>
    </w:p>
    <w:tbl>
      <w:tblPr>
        <w:tblW w:w="8844" w:type="dxa"/>
        <w:tblLook w:val="04A0" w:firstRow="1" w:lastRow="0" w:firstColumn="1" w:lastColumn="0" w:noHBand="0" w:noVBand="1"/>
      </w:tblPr>
      <w:tblGrid>
        <w:gridCol w:w="2980"/>
        <w:gridCol w:w="1000"/>
        <w:gridCol w:w="222"/>
        <w:gridCol w:w="1160"/>
        <w:gridCol w:w="1000"/>
        <w:gridCol w:w="222"/>
        <w:gridCol w:w="1260"/>
        <w:gridCol w:w="1000"/>
      </w:tblGrid>
      <w:tr w:rsidR="00AD64B8" w:rsidRPr="003C4E36" w:rsidTr="00E4335A">
        <w:trPr>
          <w:trHeight w:val="360"/>
        </w:trPr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Characteristic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 (%) 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PCS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MCS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value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value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 (11.3)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at diagnosis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years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(24.8)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36.7 (12.3)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45.1 (10.6)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55, &lt; 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 (32.2)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36.8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0.50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65, &lt; 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 (28.0)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39.6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(15.0)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39.1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48.9 (11.0)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 (74.7)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 (11.4)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(25.3)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37.3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45.1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Race/ethnicity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Non-Hispanic white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 (63.8)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(17.4)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 ( 8.4)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 (12.5)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44.3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Asian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(10.3)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Alcohol consumption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(39.7)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 (10.8)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 (44.9)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37.3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Current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(15.4)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40.5 (12.7)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Smoking status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(33.7)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 (10.8)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 (51.3)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 (12.3)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 (11.5)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Current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(15.0)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BMI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 (31.6)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 (12.3)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25, &lt; 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213 (36.0)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 (11.0)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 (32.4)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38.2 (12.4)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Etiology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HBV + HCV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(25.3)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48.2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Alcohol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(25.3)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HBV + HCV + Alcohol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 (23.8)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 (11.9)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NASH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( 5.7)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 (12.4)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 (10.5)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AD64B8" w:rsidRPr="003C4E36" w:rsidTr="00E4335A">
        <w:trPr>
          <w:trHeight w:val="3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Other 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(19.9)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 (11.9)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47.6 (10.4)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Child-Pugh score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 (79.5)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39.1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(18.0)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33.2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( 2.5)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44.4 (13.1)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Cirrhosis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 (39.0)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 (12.3)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 (61.0)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 (11.9)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 (11.4)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Portal hypertension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494 (67.2)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 (32.8)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Portal vein thrombosis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523 (71.2)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39.5 (11.9)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 (28.8)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Histologic</w:t>
            </w: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</w:rPr>
              <w:t>al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grade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Well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 (26.4)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 (11.9)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48.4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 (45.5)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 (12.3)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Poor + undifferentiated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(28.1)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 (12.3)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 (10.6)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NCCN tumor stage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 (14.0)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 (10.7)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50.5 (10.1)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 (15.5)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41.6 (11.9)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0.046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(40.1)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45.1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(30.5)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35.5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 (11.5)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Comorbidity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(13.2)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 (12.4)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48.2 (10.4)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(23.3)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 (12.7)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 (11.3)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(30.3)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40.4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 (10.8)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 (33.2)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 (11.3)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45.7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0.14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Prior treatment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 (73.9)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46.1 (11.4)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Curative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( 9.1)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40.4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 (10.6)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Palliative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 (17.0)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1822B8" w:rsidRDefault="00AD64B8" w:rsidP="00E433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</w:rPr>
              <w:t>Time since diagnosis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822B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1 month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(31.8)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1-3 months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(47.2)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3-6 months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(12.2)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6 months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( 8.7)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(11.3)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Default="00AD64B8" w:rsidP="00E433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1822B8" w:rsidRDefault="00AD64B8" w:rsidP="00E4335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</w:rPr>
              <w:t>Years of diagnosis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1999-2002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(14.4)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2003-2006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(26.9)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2007-2009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 (30.7)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2010-2012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C40E64" w:rsidRDefault="00AD64B8" w:rsidP="00E4335A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0E6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 (27.9)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 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(11.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46.1 (11.5</w:t>
            </w: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4F189E" w:rsidRDefault="00AD64B8" w:rsidP="00E4335A">
            <w:pPr>
              <w:spacing w:after="0" w:line="240" w:lineRule="exact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4F189E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  <w:t>P</w:t>
            </w:r>
            <w:r w:rsidRPr="004F18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AFP (</w:t>
            </w:r>
            <w:proofErr w:type="spellStart"/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ng</w:t>
            </w:r>
            <w:proofErr w:type="spellEnd"/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/ml)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≤ 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 (15.5)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48.7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6, ≤ 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(30.9)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45.9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100, ≤ 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(19.8)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 (13.1)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236 (33.8)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 (10.8)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CA19-9 (U/ml)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 (45.2)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 (11.5)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35, ≤ 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(29.7)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45.2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 (25.1)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ALT (U/L)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 (52.1)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56, ≤ 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(25.8)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 (11.5)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(22.2)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37.4 (12.4)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 (10.7)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AST (U/L)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(20.2)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40.9 (11.5)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46, ≤ 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(34.8)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39.2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 (11.9)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 (44.9)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 (12.4)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ALP (U/L)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126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 (32.7)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42.1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48.2 (10.6)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126, ≤ 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(28.3)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46.1 (11.4)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200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 (39.0)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0.008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0.009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 bilirubin (mg/dl)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1.0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 (64.4)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 (11.4)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1.0, ≤ 2.0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 (22.7)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43.8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&gt;2.0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(12.9)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 (10.5)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Direct bilirubin (mg/dl)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0.4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(70.6)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 (11.6)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0.4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 (29.4)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 (11.4)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 (12.1)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Serum albumin (g/dl)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 (72.4)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 (11.0)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3.2, &lt; 3.5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(15.7)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 (10.3)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 (11.5)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3.2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(11.9)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30.4 (10.7)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1.2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(55.6)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39.5 (12.3)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 (11.4)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1.2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 (44.4)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36.7 (11.8)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45.1 (11.4)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</w:tr>
      <w:tr w:rsidR="00AD64B8" w:rsidRPr="003C4E36" w:rsidTr="00E4335A">
        <w:trPr>
          <w:trHeight w:val="3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WBC (× 10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4-11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(79.8)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 (12.5)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(11.7)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 (10.5)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45.2 (10.8)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&gt; 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( 8.4)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 (7.9)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40.2 (13.1)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0.008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for trend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0.007</w:t>
            </w:r>
          </w:p>
        </w:tc>
      </w:tr>
      <w:tr w:rsidR="00AD64B8" w:rsidRPr="003C4E36" w:rsidTr="00E4335A">
        <w:trPr>
          <w:trHeight w:val="3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Lymphocytes (× 10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&lt; 1.0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(27.0)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 (10.6)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 (11.9)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≥ 1.0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 (73.0)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 (12.4)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 (11.2)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AD64B8" w:rsidRPr="003C4E36" w:rsidTr="00E4335A">
        <w:trPr>
          <w:trHeight w:val="3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Monocytes (× 10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0.7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 (70.2)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 (10.9)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0.7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(29.8)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34.8 (11.3)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 (12.6)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</w:tr>
      <w:tr w:rsidR="00AD64B8" w:rsidRPr="003C4E36" w:rsidTr="00E4335A">
        <w:trPr>
          <w:trHeight w:val="34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Neutrophils  (× 10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9</w:t>
            </w: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/L)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7.3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 (86.3)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 (12.2)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 (11.0)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7.3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(13.7)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34.0 (10.5)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41.8 (13.0)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0.02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NLR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4.0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(67.2)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 (12.3)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 (10.6)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4.0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(32.8)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 (11.1)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 (12.5)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0.007</w:t>
            </w: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LMR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≤ 2.9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(63.7)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36.5 (11.7)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 (12.0)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D64B8" w:rsidRPr="003C4E36" w:rsidTr="00E4335A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&gt; 2.9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(36.3)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 (12.2)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&lt; 0.001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3C4E36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C4E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48.1 (10.1)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4B8" w:rsidRPr="00B438DA" w:rsidRDefault="00AD64B8" w:rsidP="00E433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B438DA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0.03</w:t>
            </w:r>
          </w:p>
        </w:tc>
      </w:tr>
    </w:tbl>
    <w:p w:rsidR="00AD64B8" w:rsidRPr="00F31573" w:rsidRDefault="00AD64B8" w:rsidP="00AD64B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D64B8" w:rsidRPr="0073572A" w:rsidRDefault="00AD64B8" w:rsidP="00AD64B8">
      <w:pPr>
        <w:adjustRightInd w:val="0"/>
        <w:snapToGrid w:val="0"/>
        <w:spacing w:after="0" w:line="480" w:lineRule="auto"/>
        <w:rPr>
          <w:rFonts w:ascii="Arial" w:hAnsi="Arial" w:cs="Arial"/>
          <w:sz w:val="20"/>
          <w:szCs w:val="20"/>
        </w:rPr>
      </w:pPr>
      <w:r w:rsidRPr="0073572A">
        <w:rPr>
          <w:rFonts w:ascii="Arial" w:hAnsi="Arial" w:cs="Arial"/>
          <w:sz w:val="20"/>
          <w:szCs w:val="20"/>
        </w:rPr>
        <w:t xml:space="preserve">Abbreviations: AFP, alpha-fetoprotein; ALP, alkaline phosphatase ; ALT, alanine aminotransferase; AST, aspartate aminotransferase; BMI, body mass index; CA19-9, carbohydrate antigen 19-9; HBV, hepatitis B virus; HCV, hepatitis C virus; INR, international normalized ratio; LMR, lymphocyte-to-monocyte ratio; MCS, Mental Component Summary; NASH, non-alcoholic </w:t>
      </w:r>
      <w:proofErr w:type="spellStart"/>
      <w:r w:rsidRPr="0073572A">
        <w:rPr>
          <w:rFonts w:ascii="Arial" w:hAnsi="Arial" w:cs="Arial"/>
          <w:sz w:val="20"/>
          <w:szCs w:val="20"/>
        </w:rPr>
        <w:t>steatohepatitis</w:t>
      </w:r>
      <w:proofErr w:type="spellEnd"/>
      <w:r w:rsidRPr="0073572A">
        <w:rPr>
          <w:rFonts w:ascii="Arial" w:hAnsi="Arial" w:cs="Arial"/>
          <w:sz w:val="20"/>
          <w:szCs w:val="20"/>
        </w:rPr>
        <w:t xml:space="preserve">; NCCN, National Comprehensive Cancer Network; NLR, neutrophil-to-Lymphocyte ratio; PCS, Physical Component Summary; SD, standard deviation; WBC, white blood cell. </w:t>
      </w:r>
    </w:p>
    <w:p w:rsidR="00AD64B8" w:rsidRPr="0073572A" w:rsidRDefault="00AD64B8" w:rsidP="00AD64B8">
      <w:pPr>
        <w:adjustRightInd w:val="0"/>
        <w:snapToGrid w:val="0"/>
        <w:spacing w:after="0" w:line="480" w:lineRule="auto"/>
        <w:rPr>
          <w:rFonts w:ascii="Arial" w:hAnsi="Arial" w:cs="Arial"/>
          <w:sz w:val="20"/>
          <w:szCs w:val="20"/>
        </w:rPr>
      </w:pPr>
      <w:r w:rsidRPr="0073572A">
        <w:rPr>
          <w:rFonts w:ascii="Arial" w:hAnsi="Arial" w:cs="Arial"/>
          <w:sz w:val="20"/>
          <w:szCs w:val="20"/>
          <w:vertAlign w:val="superscript"/>
        </w:rPr>
        <w:t>a</w:t>
      </w:r>
      <w:r w:rsidRPr="0073572A">
        <w:rPr>
          <w:rFonts w:ascii="Arial" w:hAnsi="Arial" w:cs="Arial"/>
          <w:sz w:val="20"/>
          <w:szCs w:val="20"/>
        </w:rPr>
        <w:t xml:space="preserve"> Missing values not included: BMI (N = 143), Child-Pugh score (N = 1), Histologic</w:t>
      </w:r>
      <w:r>
        <w:rPr>
          <w:rFonts w:ascii="Arial" w:hAnsi="Arial" w:cs="Arial" w:hint="eastAsia"/>
          <w:sz w:val="20"/>
          <w:szCs w:val="20"/>
        </w:rPr>
        <w:t>al</w:t>
      </w:r>
      <w:r w:rsidRPr="0073572A">
        <w:rPr>
          <w:rFonts w:ascii="Arial" w:hAnsi="Arial" w:cs="Arial"/>
          <w:sz w:val="20"/>
          <w:szCs w:val="20"/>
        </w:rPr>
        <w:t xml:space="preserve"> grade (N = 247), NCCN tumor stage (N = 4), AFP (N = 37), CA19-9 (N = 388), ALT (N = 370), AST (N = 399),  alkaline phosphatase (N = 371), total bilirubin (N = 370), direct bilirubin (N = 442), serum albumin (N = 373), INR (N = 379), WBC (N = 368), lymphocytes (N = 369), monocytes (N = 369), neutrophils (N = 369). Percentages may not add up to 100% because of rounding.</w:t>
      </w:r>
    </w:p>
    <w:p w:rsidR="00AD64B8" w:rsidRDefault="00AD64B8" w:rsidP="00AD64B8">
      <w:pPr>
        <w:adjustRightInd w:val="0"/>
        <w:snapToGrid w:val="0"/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 w:rsidRPr="0073572A">
        <w:rPr>
          <w:rFonts w:ascii="Arial" w:hAnsi="Arial" w:cs="Arial"/>
          <w:sz w:val="20"/>
          <w:szCs w:val="20"/>
          <w:vertAlign w:val="superscript"/>
        </w:rPr>
        <w:t>b</w:t>
      </w:r>
      <w:proofErr w:type="gramEnd"/>
      <w:r w:rsidRPr="0073572A">
        <w:rPr>
          <w:rFonts w:ascii="Arial" w:hAnsi="Arial" w:cs="Arial"/>
          <w:sz w:val="20"/>
          <w:szCs w:val="20"/>
        </w:rPr>
        <w:t xml:space="preserve"> Including cryptogenic (N = 128), poison (N = 6), autoimmune (N = 5), hemochromatosis (N = 5), primary biliary cirrhosis (N = 1), and estrogen (N = 1).</w:t>
      </w:r>
    </w:p>
    <w:p w:rsidR="00D80840" w:rsidRDefault="00AD64B8" w:rsidP="00AD64B8">
      <w:proofErr w:type="gramStart"/>
      <w:r w:rsidRPr="001822B8">
        <w:rPr>
          <w:rFonts w:ascii="Arial" w:hAnsi="Arial" w:cs="Arial"/>
          <w:sz w:val="20"/>
          <w:szCs w:val="20"/>
          <w:vertAlign w:val="superscript"/>
        </w:rPr>
        <w:t>c</w:t>
      </w:r>
      <w:proofErr w:type="gramEnd"/>
      <w:r w:rsidRPr="001822B8">
        <w:rPr>
          <w:rFonts w:ascii="Arial" w:hAnsi="Arial" w:cs="Arial"/>
          <w:sz w:val="20"/>
          <w:szCs w:val="20"/>
        </w:rPr>
        <w:t xml:space="preserve"> Interval between initial diagnosis and quality of life survey.</w:t>
      </w:r>
    </w:p>
    <w:sectPr w:rsidR="00D80840" w:rsidSect="00D8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85" w:rsidRDefault="00E03885" w:rsidP="00AD64B8">
      <w:pPr>
        <w:spacing w:after="0" w:line="240" w:lineRule="auto"/>
      </w:pPr>
      <w:r>
        <w:separator/>
      </w:r>
    </w:p>
  </w:endnote>
  <w:endnote w:type="continuationSeparator" w:id="0">
    <w:p w:rsidR="00E03885" w:rsidRDefault="00E03885" w:rsidP="00AD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759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FB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85" w:rsidRDefault="00E03885" w:rsidP="00AD64B8">
      <w:pPr>
        <w:spacing w:after="0" w:line="240" w:lineRule="auto"/>
      </w:pPr>
      <w:r>
        <w:separator/>
      </w:r>
    </w:p>
  </w:footnote>
  <w:footnote w:type="continuationSeparator" w:id="0">
    <w:p w:rsidR="00E03885" w:rsidRDefault="00E03885" w:rsidP="00AD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2990871"/>
    <w:multiLevelType w:val="hybridMultilevel"/>
    <w:tmpl w:val="18AE1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5060F"/>
    <w:multiLevelType w:val="hybridMultilevel"/>
    <w:tmpl w:val="45288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4B8"/>
    <w:rsid w:val="000C619E"/>
    <w:rsid w:val="002522B8"/>
    <w:rsid w:val="00A94C83"/>
    <w:rsid w:val="00AD64B8"/>
    <w:rsid w:val="00D80840"/>
    <w:rsid w:val="00E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B8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D64B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64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D64B8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AD64B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64B8"/>
    <w:rPr>
      <w:rFonts w:ascii="Calibri" w:hAnsi="Calibri" w:cs="Calibri"/>
      <w:noProof/>
      <w:kern w:val="0"/>
      <w:sz w:val="22"/>
    </w:rPr>
  </w:style>
  <w:style w:type="paragraph" w:customStyle="1" w:styleId="EndNoteBibliography">
    <w:name w:val="EndNote Bibliography"/>
    <w:basedOn w:val="Normal"/>
    <w:link w:val="EndNoteBibliographyChar"/>
    <w:rsid w:val="00AD64B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64B8"/>
    <w:rPr>
      <w:rFonts w:ascii="Calibri" w:hAnsi="Calibri" w:cs="Calibri"/>
      <w:noProof/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AD64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B8"/>
    <w:rPr>
      <w:rFonts w:ascii="Segoe UI" w:hAnsi="Segoe UI" w:cs="Segoe UI"/>
      <w:kern w:val="0"/>
      <w:sz w:val="18"/>
      <w:szCs w:val="18"/>
    </w:rPr>
  </w:style>
  <w:style w:type="paragraph" w:styleId="ListParagraph">
    <w:name w:val="List Paragraph"/>
    <w:basedOn w:val="Normal"/>
    <w:qFormat/>
    <w:rsid w:val="00AD64B8"/>
    <w:pPr>
      <w:spacing w:after="200" w:line="276" w:lineRule="auto"/>
      <w:ind w:left="720"/>
      <w:contextualSpacing/>
    </w:pPr>
    <w:rPr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AD6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B8"/>
    <w:pPr>
      <w:suppressAutoHyphens/>
      <w:spacing w:line="240" w:lineRule="auto"/>
    </w:pPr>
    <w:rPr>
      <w:rFonts w:ascii="Calibri" w:eastAsia="SimSun" w:hAnsi="Calibri" w:cs="font759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B8"/>
    <w:rPr>
      <w:rFonts w:ascii="Calibri" w:eastAsia="SimSun" w:hAnsi="Calibri" w:cs="font759"/>
      <w:kern w:val="0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B8"/>
    <w:pPr>
      <w:suppressAutoHyphens w:val="0"/>
    </w:pPr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B8"/>
    <w:rPr>
      <w:rFonts w:ascii="Calibri" w:eastAsia="SimSun" w:hAnsi="Calibri" w:cs="font759"/>
      <w:b/>
      <w:bCs/>
      <w:kern w:val="0"/>
      <w:sz w:val="20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AD64B8"/>
  </w:style>
  <w:style w:type="character" w:styleId="FollowedHyperlink">
    <w:name w:val="FollowedHyperlink"/>
    <w:basedOn w:val="DefaultParagraphFont"/>
    <w:uiPriority w:val="99"/>
    <w:semiHidden/>
    <w:unhideWhenUsed/>
    <w:rsid w:val="00AD64B8"/>
    <w:rPr>
      <w:color w:val="954F72"/>
      <w:u w:val="single"/>
    </w:rPr>
  </w:style>
  <w:style w:type="paragraph" w:customStyle="1" w:styleId="font5">
    <w:name w:val="font5"/>
    <w:basedOn w:val="Normal"/>
    <w:rsid w:val="00AD6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Normal"/>
    <w:rsid w:val="00AD6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7">
    <w:name w:val="font7"/>
    <w:basedOn w:val="Normal"/>
    <w:rsid w:val="00AD6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8">
    <w:name w:val="font8"/>
    <w:basedOn w:val="Normal"/>
    <w:rsid w:val="00AD6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font9">
    <w:name w:val="font9"/>
    <w:basedOn w:val="Normal"/>
    <w:rsid w:val="00AD64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3">
    <w:name w:val="xl63"/>
    <w:basedOn w:val="Normal"/>
    <w:rsid w:val="00AD64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D64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AD64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AD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AD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D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D64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D6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AD64B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AD64B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AD64B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D64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D64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D64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D64B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AD64B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AD64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AD64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AD64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D6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System-3</cp:lastModifiedBy>
  <cp:revision>4</cp:revision>
  <dcterms:created xsi:type="dcterms:W3CDTF">2020-01-23T09:55:00Z</dcterms:created>
  <dcterms:modified xsi:type="dcterms:W3CDTF">2020-03-04T10:53:00Z</dcterms:modified>
</cp:coreProperties>
</file>