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7DD" w:rsidRPr="00124325" w:rsidRDefault="00124325">
      <w:pPr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proofErr w:type="gramStart"/>
      <w:r w:rsidRPr="00124325">
        <w:rPr>
          <w:rFonts w:ascii="Palatino Linotype" w:hAnsi="Palatino Linotype"/>
          <w:b/>
          <w:sz w:val="24"/>
          <w:szCs w:val="24"/>
        </w:rPr>
        <w:t>Supplementary Table</w:t>
      </w:r>
      <w:r w:rsidR="00026F85" w:rsidRPr="00124325">
        <w:rPr>
          <w:rFonts w:ascii="Palatino Linotype" w:hAnsi="Palatino Linotype"/>
          <w:b/>
          <w:sz w:val="24"/>
          <w:szCs w:val="24"/>
        </w:rPr>
        <w:t xml:space="preserve"> 1.</w:t>
      </w:r>
      <w:proofErr w:type="gramEnd"/>
      <w:r w:rsidR="00026F85" w:rsidRPr="00124325">
        <w:rPr>
          <w:rFonts w:ascii="Palatino Linotype" w:hAnsi="Palatino Linotype"/>
          <w:b/>
          <w:sz w:val="24"/>
          <w:szCs w:val="24"/>
        </w:rPr>
        <w:t xml:space="preserve"> </w:t>
      </w:r>
      <w:proofErr w:type="gramStart"/>
      <w:r w:rsidR="00026F85" w:rsidRPr="00124325">
        <w:rPr>
          <w:rFonts w:ascii="Palatino Linotype" w:hAnsi="Palatino Linotype"/>
          <w:b/>
          <w:sz w:val="24"/>
          <w:szCs w:val="24"/>
        </w:rPr>
        <w:t>Characteristics of included studies</w:t>
      </w:r>
      <w:r w:rsidR="00EC6792" w:rsidRPr="00124325">
        <w:rPr>
          <w:rFonts w:ascii="Palatino Linotype" w:hAnsi="Palatino Linotype" w:hint="eastAsia"/>
          <w:b/>
          <w:sz w:val="24"/>
          <w:szCs w:val="24"/>
        </w:rPr>
        <w:t xml:space="preserve"> in this meta-analysis</w:t>
      </w:r>
      <w:r w:rsidR="00026F85" w:rsidRPr="00124325">
        <w:rPr>
          <w:rFonts w:ascii="Palatino Linotype" w:hAnsi="Palatino Linotype"/>
          <w:b/>
          <w:sz w:val="24"/>
          <w:szCs w:val="24"/>
        </w:rPr>
        <w:t>.</w:t>
      </w:r>
      <w:proofErr w:type="gramEnd"/>
    </w:p>
    <w:tbl>
      <w:tblPr>
        <w:tblW w:w="15918" w:type="dxa"/>
        <w:jc w:val="center"/>
        <w:tblLook w:val="04A0" w:firstRow="1" w:lastRow="0" w:firstColumn="1" w:lastColumn="0" w:noHBand="0" w:noVBand="1"/>
      </w:tblPr>
      <w:tblGrid>
        <w:gridCol w:w="1921"/>
        <w:gridCol w:w="1811"/>
        <w:gridCol w:w="2977"/>
        <w:gridCol w:w="3118"/>
        <w:gridCol w:w="763"/>
        <w:gridCol w:w="1133"/>
        <w:gridCol w:w="4195"/>
      </w:tblGrid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Study</w:t>
            </w:r>
          </w:p>
        </w:tc>
        <w:tc>
          <w:tcPr>
            <w:tcW w:w="1811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Area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Study populat</w:t>
            </w:r>
            <w:r w:rsidR="00D0421A">
              <w:rPr>
                <w:rFonts w:ascii="Palatino Linotype" w:eastAsia="SimSun" w:hAnsi="Palatino Linotype" w:cs="SimSun" w:hint="eastAsia"/>
                <w:b/>
                <w:color w:val="000000"/>
                <w:kern w:val="0"/>
                <w:szCs w:val="21"/>
              </w:rPr>
              <w:t>i</w:t>
            </w:r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on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6761F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proofErr w:type="spellStart"/>
            <w:r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MetS</w:t>
            </w:r>
            <w:proofErr w:type="spellEnd"/>
            <w:r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 xml:space="preserve"> diagnosis</w:t>
            </w:r>
            <w:r w:rsidR="0073479A"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 xml:space="preserve"> criteria</w:t>
            </w:r>
          </w:p>
        </w:tc>
        <w:tc>
          <w:tcPr>
            <w:tcW w:w="76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 w:hint="eastAsia"/>
                <w:b/>
                <w:color w:val="000000"/>
                <w:kern w:val="0"/>
                <w:szCs w:val="21"/>
              </w:rPr>
              <w:t>No.</w:t>
            </w:r>
          </w:p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MetS</w:t>
            </w:r>
            <w:proofErr w:type="spellEnd"/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 w:hint="eastAsia"/>
                <w:b/>
                <w:color w:val="000000"/>
                <w:kern w:val="0"/>
                <w:szCs w:val="21"/>
              </w:rPr>
              <w:t>No.</w:t>
            </w:r>
          </w:p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Controls</w:t>
            </w:r>
          </w:p>
        </w:tc>
        <w:tc>
          <w:tcPr>
            <w:tcW w:w="4195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  <w:t>Parameters</w:t>
            </w:r>
          </w:p>
        </w:tc>
      </w:tr>
      <w:tr w:rsidR="008E1E8B" w:rsidRPr="0073479A" w:rsidTr="00D0421A">
        <w:trPr>
          <w:trHeight w:hRule="exact" w:val="454"/>
          <w:jc w:val="center"/>
        </w:trPr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 w:hint="eastAsia"/>
                <w:b/>
                <w:color w:val="000000"/>
                <w:kern w:val="0"/>
                <w:szCs w:val="21"/>
              </w:rPr>
              <w:t>Male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</w:tr>
      <w:tr w:rsidR="0073479A" w:rsidRPr="0073479A" w:rsidTr="00D0421A">
        <w:trPr>
          <w:trHeight w:val="1080"/>
          <w:jc w:val="center"/>
        </w:trPr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Lotti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2013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Florence, Italy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Male members of infertile couples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324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FSH, LH, PRL, TSH, T, semen volume, sperm concentration, sperm progressive motility, sperm normal morphology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Leisegang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2014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Western Cape, South Africa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MetS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and controls (24~67y)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Semen volume, sperm concentration, total sperm count, sperm progressive motility, sperm total motility, sperm vitality, MMP, DNA fragmentation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Elsamanoudy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Mansoura, Egypt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Fertile </w:t>
            </w: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MetS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and controls (average 39~40y)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Semen volume, sperm concentration, sperm progressive motility, sperm vitality, sperm normal morphology, DNA fragmentation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Leisegang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Bellville and Stellenbosch, South Africa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MetS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and controls (25~65y)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Semen volume, sperm concentration, total sperm count, sperm vitality, sperm progressive motility, sperm total motility, MMP, DNA fragmentation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Pilatz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Giessen, Germany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MetS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and controls (30~62y)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Program (NCEP) criteria in 2001 and 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Semen volume, sperm concentration, sperm progressive motility, sperm normal morphology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Ventimiglia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2016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Milan, Italy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Primary infertile men (average 36y)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128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1209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FSH, LH, </w:t>
            </w: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InhB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, AMH, T, E2, PRL, TSH, semen volume, sperm concentration, sperm progressive motility, sperm normal morphology, total sperm count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lastRenderedPageBreak/>
              <w:t>Ventimiglia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2017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Milan, Italy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Secondary infertile men (22~68y)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147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FSH, LH, </w:t>
            </w: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InhB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, AMH, T, E2, PRL, TSH, semen volume, sperm concentration, sperm progressive motility, sperm normal morphology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Ehala-Aleksejev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2018 (1)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Tartu, Estonia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Partners of pregnant women (FM) (average 32y)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209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Semen volume, sperm concentration, total sperm count, sperm total motility, sperm normal morphology, FSH, LH, T, E2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Ehala-Aleksejev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2018 (2)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Tartu, Estonia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Male partners of infertile couples (MPIC) (average 33y)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471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2171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Semen volume, sperm concentration, total sperm count, sperm total motility, sperm normal morphology, FSH, LH, T, E2</w:t>
            </w:r>
          </w:p>
        </w:tc>
      </w:tr>
      <w:tr w:rsidR="0073479A" w:rsidRPr="0073479A" w:rsidTr="00D0421A">
        <w:trPr>
          <w:trHeight w:val="767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Siddiqui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2018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Saudi Arabia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T2DM (30~80y)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2006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292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137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T, FSH, LH</w:t>
            </w:r>
          </w:p>
        </w:tc>
      </w:tr>
      <w:tr w:rsidR="0073479A" w:rsidRPr="0073479A" w:rsidTr="00D0421A">
        <w:trPr>
          <w:trHeight w:val="1004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Chen 2019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Taipei, China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Participants of reproductive age (average 32~34y)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Harmonized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885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7510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Sperm concentration, sperm total motility, sperm progressive motility, sperm normal morphology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Elfassy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2020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France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Male partners of infertile couples (18~45y)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Harmonized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T, </w:t>
            </w: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InhB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, FSH, LH, E2, semen volume, sperm concentration, total sperm count, sperm progressive motility, sperm total motility, sperm vitality, sperm normal morphology, DNA fragmentation</w:t>
            </w:r>
          </w:p>
        </w:tc>
      </w:tr>
      <w:tr w:rsidR="0073479A" w:rsidRPr="0073479A" w:rsidTr="00D0421A">
        <w:trPr>
          <w:trHeight w:val="1245"/>
          <w:jc w:val="center"/>
        </w:trPr>
        <w:tc>
          <w:tcPr>
            <w:tcW w:w="192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Saikia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2020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Gauhati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, India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MetS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and age-matched controls (20~40y)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2005</w:t>
            </w:r>
          </w:p>
        </w:tc>
        <w:tc>
          <w:tcPr>
            <w:tcW w:w="7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FSH, T, </w:t>
            </w: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InhB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, total sperm count,  semen volume, sperm total motility, sperm progressive motility, sperm normal morphology</w:t>
            </w:r>
          </w:p>
        </w:tc>
      </w:tr>
      <w:tr w:rsidR="008E1E8B" w:rsidRPr="008E1E8B" w:rsidTr="00D0421A">
        <w:trPr>
          <w:trHeight w:val="454"/>
          <w:jc w:val="center"/>
        </w:trPr>
        <w:tc>
          <w:tcPr>
            <w:tcW w:w="192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 w:hint="eastAsia"/>
                <w:b/>
                <w:color w:val="000000"/>
                <w:kern w:val="0"/>
                <w:szCs w:val="21"/>
              </w:rPr>
              <w:t>Female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E1E8B" w:rsidRPr="00D0421A" w:rsidRDefault="008E1E8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b/>
                <w:color w:val="000000"/>
                <w:kern w:val="0"/>
                <w:szCs w:val="21"/>
              </w:rPr>
            </w:pP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Stefanska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2012</w:t>
            </w:r>
          </w:p>
        </w:tc>
        <w:tc>
          <w:tcPr>
            <w:tcW w:w="181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Bydgoszcz, Poland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Postmenopausal Caucasian women (46~60y)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2006</w:t>
            </w:r>
          </w:p>
        </w:tc>
        <w:tc>
          <w:tcPr>
            <w:tcW w:w="7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148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172</w:t>
            </w:r>
          </w:p>
        </w:tc>
        <w:tc>
          <w:tcPr>
            <w:tcW w:w="419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FSH, E2, TSH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lastRenderedPageBreak/>
              <w:t>Güdücü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2013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Turkey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4D012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Pos</w:t>
            </w:r>
            <w:r>
              <w:rPr>
                <w:rFonts w:ascii="Palatino Linotype" w:eastAsia="SimSun" w:hAnsi="Palatino Linotype" w:cs="SimSun" w:hint="eastAsia"/>
                <w:color w:val="000000"/>
                <w:kern w:val="0"/>
                <w:szCs w:val="21"/>
              </w:rPr>
              <w:t>t</w:t>
            </w:r>
            <w:r w:rsidR="0073479A"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menopausal women (47~74y)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E2, FSH, T, LH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Natah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2014 (1)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Babylon, Iraq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Premenopausal women (35~65y)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E2, FSH, LH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Natah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2014 (2)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Babylon, Iraq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Postmenopausal women (35~65y)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National Cholesterol Education in Program (NCEP) criteria in 2001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E2, FSH, LH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Olszanecka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2016 (1)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Krakow, Poland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Hypertensive premenopausal  women (40~60y)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T, E2, FSH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proofErr w:type="spellStart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Olszanecka</w:t>
            </w:r>
            <w:proofErr w:type="spellEnd"/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2016 (2) 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Krakow, Poland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Hypertensive postmenopausal women (40~60y)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T, E2, FSH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Chang 2019</w:t>
            </w: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4D012B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>
              <w:rPr>
                <w:rFonts w:ascii="Palatino Linotype" w:eastAsia="SimSun" w:hAnsi="Palatino Linotype" w:cs="SimSun" w:hint="eastAsia"/>
                <w:color w:val="000000"/>
                <w:kern w:val="0"/>
                <w:szCs w:val="21"/>
              </w:rPr>
              <w:t>POCS women</w:t>
            </w:r>
            <w:r w:rsidR="0073479A"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 xml:space="preserve"> (20~40y)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ASRM-Sponsored PCOS consensus workshop group criteria in 2004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159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623</w:t>
            </w:r>
          </w:p>
        </w:tc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LH, FSH, P, E2, T</w:t>
            </w:r>
          </w:p>
        </w:tc>
      </w:tr>
      <w:tr w:rsidR="0073479A" w:rsidRPr="0073479A" w:rsidTr="00D0421A">
        <w:trPr>
          <w:trHeight w:val="402"/>
          <w:jc w:val="center"/>
        </w:trPr>
        <w:tc>
          <w:tcPr>
            <w:tcW w:w="192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73479A">
            <w:pPr>
              <w:widowControl/>
              <w:adjustRightInd w:val="0"/>
              <w:snapToGrid w:val="0"/>
              <w:jc w:val="left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He 2019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China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PCOS women (average 28y)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International Diabetes Federation (IDF) criteria in 2009</w:t>
            </w:r>
          </w:p>
        </w:tc>
        <w:tc>
          <w:tcPr>
            <w:tcW w:w="76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410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D0421A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1098</w:t>
            </w:r>
          </w:p>
        </w:tc>
        <w:tc>
          <w:tcPr>
            <w:tcW w:w="4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79A" w:rsidRPr="00D0421A" w:rsidRDefault="0073479A" w:rsidP="00317AC4">
            <w:pPr>
              <w:widowControl/>
              <w:adjustRightInd w:val="0"/>
              <w:snapToGrid w:val="0"/>
              <w:jc w:val="center"/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</w:pPr>
            <w:r w:rsidRPr="00D0421A">
              <w:rPr>
                <w:rFonts w:ascii="Palatino Linotype" w:eastAsia="SimSun" w:hAnsi="Palatino Linotype" w:cs="SimSun"/>
                <w:color w:val="000000"/>
                <w:kern w:val="0"/>
                <w:szCs w:val="21"/>
              </w:rPr>
              <w:t>FSH, LH, E2, T, TSH</w:t>
            </w:r>
          </w:p>
        </w:tc>
      </w:tr>
    </w:tbl>
    <w:p w:rsidR="008E1E8B" w:rsidRPr="00597796" w:rsidRDefault="00FD00B2" w:rsidP="008D2F97">
      <w:pPr>
        <w:adjustRightInd w:val="0"/>
        <w:snapToGrid w:val="0"/>
        <w:rPr>
          <w:rFonts w:ascii="Palatino Linotype" w:hAnsi="Palatino Linotype"/>
          <w:sz w:val="24"/>
          <w:szCs w:val="24"/>
        </w:rPr>
      </w:pPr>
      <w:proofErr w:type="spellStart"/>
      <w:r w:rsidRPr="008D2F97">
        <w:rPr>
          <w:rFonts w:ascii="Palatino Linotype" w:hAnsi="Palatino Linotype"/>
          <w:sz w:val="24"/>
          <w:szCs w:val="24"/>
        </w:rPr>
        <w:t>MetS</w:t>
      </w:r>
      <w:proofErr w:type="spellEnd"/>
      <w:r w:rsidR="00AF7806" w:rsidRPr="008D2F97">
        <w:rPr>
          <w:rFonts w:ascii="Palatino Linotype" w:hAnsi="Palatino Linotype"/>
          <w:sz w:val="24"/>
          <w:szCs w:val="24"/>
        </w:rPr>
        <w:t xml:space="preserve">, metabolic syndrome; </w:t>
      </w:r>
      <w:r w:rsidR="00945597">
        <w:rPr>
          <w:rFonts w:ascii="Palatino Linotype" w:hAnsi="Palatino Linotype" w:hint="eastAsia"/>
          <w:sz w:val="24"/>
          <w:szCs w:val="24"/>
        </w:rPr>
        <w:t xml:space="preserve">PCOS, </w:t>
      </w:r>
      <w:r w:rsidR="00945597" w:rsidRPr="00945597">
        <w:rPr>
          <w:rFonts w:ascii="Palatino Linotype" w:hAnsi="Palatino Linotype"/>
          <w:sz w:val="24"/>
          <w:szCs w:val="24"/>
        </w:rPr>
        <w:t>polycystic ovary syndrome</w:t>
      </w:r>
      <w:r w:rsidR="00945597">
        <w:rPr>
          <w:rFonts w:ascii="Palatino Linotype" w:hAnsi="Palatino Linotype" w:hint="eastAsia"/>
          <w:sz w:val="24"/>
          <w:szCs w:val="24"/>
        </w:rPr>
        <w:t xml:space="preserve">; </w:t>
      </w:r>
      <w:r w:rsidR="00597796">
        <w:rPr>
          <w:rFonts w:ascii="Palatino Linotype" w:hAnsi="Palatino Linotype" w:hint="eastAsia"/>
          <w:sz w:val="24"/>
          <w:szCs w:val="24"/>
        </w:rPr>
        <w:t>T2DM, t</w:t>
      </w:r>
      <w:r w:rsidR="00597796" w:rsidRPr="00597796">
        <w:rPr>
          <w:rFonts w:ascii="Palatino Linotype" w:hAnsi="Palatino Linotype"/>
          <w:sz w:val="24"/>
          <w:szCs w:val="24"/>
        </w:rPr>
        <w:t xml:space="preserve">ype 2 </w:t>
      </w:r>
      <w:r w:rsidR="00597796">
        <w:rPr>
          <w:rFonts w:ascii="Palatino Linotype" w:hAnsi="Palatino Linotype" w:hint="eastAsia"/>
          <w:sz w:val="24"/>
          <w:szCs w:val="24"/>
        </w:rPr>
        <w:t>d</w:t>
      </w:r>
      <w:r w:rsidR="00597796" w:rsidRPr="00597796">
        <w:rPr>
          <w:rFonts w:ascii="Palatino Linotype" w:hAnsi="Palatino Linotype"/>
          <w:sz w:val="24"/>
          <w:szCs w:val="24"/>
        </w:rPr>
        <w:t xml:space="preserve">iabetes </w:t>
      </w:r>
      <w:r w:rsidR="00597796">
        <w:rPr>
          <w:rFonts w:ascii="Palatino Linotype" w:hAnsi="Palatino Linotype" w:hint="eastAsia"/>
          <w:sz w:val="24"/>
          <w:szCs w:val="24"/>
        </w:rPr>
        <w:t>m</w:t>
      </w:r>
      <w:r w:rsidR="00597796" w:rsidRPr="00597796">
        <w:rPr>
          <w:rFonts w:ascii="Palatino Linotype" w:hAnsi="Palatino Linotype"/>
          <w:sz w:val="24"/>
          <w:szCs w:val="24"/>
        </w:rPr>
        <w:t>ellitus</w:t>
      </w:r>
      <w:r w:rsidR="00597796">
        <w:rPr>
          <w:rFonts w:ascii="Palatino Linotype" w:hAnsi="Palatino Linotype" w:hint="eastAsia"/>
          <w:sz w:val="24"/>
          <w:szCs w:val="24"/>
        </w:rPr>
        <w:t xml:space="preserve">; </w:t>
      </w:r>
      <w:r w:rsidRPr="008D2F97">
        <w:rPr>
          <w:rFonts w:ascii="Palatino Linotype" w:hAnsi="Palatino Linotype"/>
          <w:sz w:val="24"/>
          <w:szCs w:val="24"/>
        </w:rPr>
        <w:t>FSH</w:t>
      </w:r>
      <w:r w:rsidR="00AF7806" w:rsidRPr="008D2F97">
        <w:rPr>
          <w:rFonts w:ascii="Palatino Linotype" w:hAnsi="Palatino Linotype"/>
          <w:sz w:val="24"/>
          <w:szCs w:val="24"/>
        </w:rPr>
        <w:t xml:space="preserve">, </w:t>
      </w:r>
      <w:r w:rsidR="008D2F97" w:rsidRPr="008D2F97">
        <w:rPr>
          <w:rFonts w:ascii="Palatino Linotype" w:hAnsi="Palatino Linotype"/>
          <w:sz w:val="24"/>
          <w:szCs w:val="24"/>
        </w:rPr>
        <w:t>follicle</w:t>
      </w:r>
      <w:r w:rsidR="003F66F6">
        <w:rPr>
          <w:rFonts w:ascii="Palatino Linotype" w:hAnsi="Palatino Linotype" w:hint="eastAsia"/>
          <w:sz w:val="24"/>
          <w:szCs w:val="24"/>
        </w:rPr>
        <w:t>-</w:t>
      </w:r>
      <w:r w:rsidR="008D2F97" w:rsidRPr="008D2F97">
        <w:rPr>
          <w:rFonts w:ascii="Palatino Linotype" w:hAnsi="Palatino Linotype"/>
          <w:sz w:val="24"/>
          <w:szCs w:val="24"/>
        </w:rPr>
        <w:t xml:space="preserve">stimulating hormone; </w:t>
      </w:r>
      <w:r w:rsidRPr="008D2F97">
        <w:rPr>
          <w:rFonts w:ascii="Palatino Linotype" w:hAnsi="Palatino Linotype"/>
          <w:sz w:val="24"/>
          <w:szCs w:val="24"/>
        </w:rPr>
        <w:t>T</w:t>
      </w:r>
      <w:r w:rsidR="00AF7806" w:rsidRPr="008D2F97">
        <w:rPr>
          <w:rFonts w:ascii="Palatino Linotype" w:hAnsi="Palatino Linotype"/>
          <w:sz w:val="24"/>
          <w:szCs w:val="24"/>
        </w:rPr>
        <w:t xml:space="preserve">, </w:t>
      </w:r>
      <w:r w:rsidRPr="008D2F97">
        <w:rPr>
          <w:rFonts w:ascii="Palatino Linotype" w:hAnsi="Palatino Linotype"/>
          <w:sz w:val="24"/>
          <w:szCs w:val="24"/>
        </w:rPr>
        <w:t>testosterone</w:t>
      </w:r>
      <w:r w:rsidR="00AF7806" w:rsidRPr="008D2F97">
        <w:rPr>
          <w:rFonts w:ascii="Palatino Linotype" w:hAnsi="Palatino Linotype"/>
          <w:sz w:val="24"/>
          <w:szCs w:val="24"/>
        </w:rPr>
        <w:t>;</w:t>
      </w:r>
      <w:r w:rsidR="008D2F97" w:rsidRPr="008D2F9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8D2F97">
        <w:rPr>
          <w:rFonts w:ascii="Palatino Linotype" w:hAnsi="Palatino Linotype"/>
          <w:sz w:val="24"/>
          <w:szCs w:val="24"/>
        </w:rPr>
        <w:t>InhB</w:t>
      </w:r>
      <w:proofErr w:type="spellEnd"/>
      <w:r w:rsidR="00AF7806" w:rsidRPr="008D2F9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D2F97" w:rsidRPr="008D2F97">
        <w:rPr>
          <w:rFonts w:ascii="Palatino Linotype" w:hAnsi="Palatino Linotype"/>
          <w:sz w:val="24"/>
          <w:szCs w:val="24"/>
        </w:rPr>
        <w:t>inhibin</w:t>
      </w:r>
      <w:proofErr w:type="spellEnd"/>
      <w:r w:rsidR="008D2F97" w:rsidRPr="008D2F97">
        <w:rPr>
          <w:rFonts w:ascii="Palatino Linotype" w:hAnsi="Palatino Linotype"/>
          <w:sz w:val="24"/>
          <w:szCs w:val="24"/>
        </w:rPr>
        <w:t xml:space="preserve"> B; </w:t>
      </w:r>
      <w:r w:rsidRPr="008D2F97">
        <w:rPr>
          <w:rFonts w:ascii="Palatino Linotype" w:hAnsi="Palatino Linotype"/>
          <w:sz w:val="24"/>
          <w:szCs w:val="24"/>
        </w:rPr>
        <w:t>LH</w:t>
      </w:r>
      <w:r w:rsidR="00AF7806" w:rsidRPr="008D2F97">
        <w:rPr>
          <w:rFonts w:ascii="Palatino Linotype" w:hAnsi="Palatino Linotype"/>
          <w:sz w:val="24"/>
          <w:szCs w:val="24"/>
        </w:rPr>
        <w:t>, luteinizing hormone;</w:t>
      </w:r>
      <w:r w:rsidR="008D2F97" w:rsidRPr="008D2F97">
        <w:rPr>
          <w:rFonts w:ascii="Palatino Linotype" w:hAnsi="Palatino Linotype"/>
          <w:sz w:val="24"/>
          <w:szCs w:val="24"/>
        </w:rPr>
        <w:t xml:space="preserve"> </w:t>
      </w:r>
      <w:r w:rsidRPr="008D2F97">
        <w:rPr>
          <w:rFonts w:ascii="Palatino Linotype" w:hAnsi="Palatino Linotype"/>
          <w:sz w:val="24"/>
          <w:szCs w:val="24"/>
        </w:rPr>
        <w:t>AMH</w:t>
      </w:r>
      <w:r w:rsidR="008D2F97" w:rsidRPr="008D2F97">
        <w:rPr>
          <w:rFonts w:ascii="Palatino Linotype" w:hAnsi="Palatino Linotype"/>
          <w:sz w:val="24"/>
          <w:szCs w:val="24"/>
        </w:rPr>
        <w:t>, anti-</w:t>
      </w:r>
      <w:proofErr w:type="spellStart"/>
      <w:r w:rsidR="008D2F97" w:rsidRPr="008D2F97">
        <w:rPr>
          <w:rFonts w:ascii="Palatino Linotype" w:hAnsi="Palatino Linotype"/>
          <w:sz w:val="24"/>
          <w:szCs w:val="24"/>
        </w:rPr>
        <w:t>Müllerian</w:t>
      </w:r>
      <w:proofErr w:type="spellEnd"/>
      <w:r w:rsidR="008D2F97" w:rsidRPr="008D2F97">
        <w:rPr>
          <w:rFonts w:ascii="Palatino Linotype" w:hAnsi="Palatino Linotype"/>
          <w:sz w:val="24"/>
          <w:szCs w:val="24"/>
        </w:rPr>
        <w:t xml:space="preserve"> hormone; </w:t>
      </w:r>
      <w:r w:rsidRPr="008D2F97">
        <w:rPr>
          <w:rFonts w:ascii="Palatino Linotype" w:hAnsi="Palatino Linotype"/>
          <w:sz w:val="24"/>
          <w:szCs w:val="24"/>
        </w:rPr>
        <w:t>TSH</w:t>
      </w:r>
      <w:r w:rsidR="008D2F97" w:rsidRPr="008D2F97">
        <w:rPr>
          <w:rFonts w:ascii="Palatino Linotype" w:hAnsi="Palatino Linotype"/>
          <w:sz w:val="24"/>
          <w:szCs w:val="24"/>
        </w:rPr>
        <w:t xml:space="preserve">, thyroid-stimulating hormone; </w:t>
      </w:r>
      <w:r w:rsidRPr="008D2F97">
        <w:rPr>
          <w:rFonts w:ascii="Palatino Linotype" w:hAnsi="Palatino Linotype"/>
          <w:sz w:val="24"/>
          <w:szCs w:val="24"/>
        </w:rPr>
        <w:t>E2</w:t>
      </w:r>
      <w:r w:rsidR="008D2F97" w:rsidRPr="008D2F9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8D2F97" w:rsidRPr="008D2F97">
        <w:rPr>
          <w:rFonts w:ascii="Palatino Linotype" w:hAnsi="Palatino Linotype"/>
          <w:sz w:val="24"/>
          <w:szCs w:val="24"/>
        </w:rPr>
        <w:t>oestradiol</w:t>
      </w:r>
      <w:proofErr w:type="spellEnd"/>
      <w:r w:rsidR="008D2F97" w:rsidRPr="008D2F97">
        <w:rPr>
          <w:rFonts w:ascii="Palatino Linotype" w:hAnsi="Palatino Linotype"/>
          <w:sz w:val="24"/>
          <w:szCs w:val="24"/>
        </w:rPr>
        <w:t xml:space="preserve">; </w:t>
      </w:r>
      <w:r w:rsidRPr="008D2F97">
        <w:rPr>
          <w:rFonts w:ascii="Palatino Linotype" w:hAnsi="Palatino Linotype"/>
          <w:sz w:val="24"/>
          <w:szCs w:val="24"/>
        </w:rPr>
        <w:t>PRL</w:t>
      </w:r>
      <w:r w:rsidR="008D2F97" w:rsidRPr="008D2F97">
        <w:rPr>
          <w:rFonts w:ascii="Palatino Linotype" w:hAnsi="Palatino Linotype"/>
          <w:sz w:val="24"/>
          <w:szCs w:val="24"/>
        </w:rPr>
        <w:t>, prolactin</w:t>
      </w:r>
      <w:r w:rsidR="0073479A">
        <w:rPr>
          <w:rFonts w:ascii="Palatino Linotype" w:hAnsi="Palatino Linotype" w:hint="eastAsia"/>
          <w:sz w:val="24"/>
          <w:szCs w:val="24"/>
        </w:rPr>
        <w:t xml:space="preserve">; P, </w:t>
      </w:r>
      <w:r w:rsidR="0073479A" w:rsidRPr="0073479A">
        <w:rPr>
          <w:rFonts w:ascii="Palatino Linotype" w:hAnsi="Palatino Linotype"/>
          <w:sz w:val="24"/>
          <w:szCs w:val="24"/>
        </w:rPr>
        <w:t>progesterone</w:t>
      </w:r>
      <w:r w:rsidR="008D2F97" w:rsidRPr="008D2F97">
        <w:rPr>
          <w:rFonts w:ascii="Palatino Linotype" w:hAnsi="Palatino Linotype"/>
          <w:sz w:val="24"/>
          <w:szCs w:val="24"/>
        </w:rPr>
        <w:t xml:space="preserve">; </w:t>
      </w:r>
      <w:r w:rsidRPr="008D2F97">
        <w:rPr>
          <w:rFonts w:ascii="Palatino Linotype" w:hAnsi="Palatino Linotype"/>
          <w:sz w:val="24"/>
          <w:szCs w:val="24"/>
        </w:rPr>
        <w:t>MMP</w:t>
      </w:r>
      <w:r w:rsidR="008D2F97" w:rsidRPr="008D2F97">
        <w:rPr>
          <w:rFonts w:ascii="Palatino Linotype" w:hAnsi="Palatino Linotype"/>
          <w:sz w:val="24"/>
          <w:szCs w:val="24"/>
        </w:rPr>
        <w:t xml:space="preserve">, mitochondrial membrane potential; </w:t>
      </w:r>
      <w:r w:rsidRPr="008D2F97">
        <w:rPr>
          <w:rFonts w:ascii="Palatino Linotype" w:hAnsi="Palatino Linotype"/>
          <w:sz w:val="24"/>
          <w:szCs w:val="24"/>
        </w:rPr>
        <w:t>IQR</w:t>
      </w:r>
      <w:r w:rsidR="00AF7806" w:rsidRPr="008D2F97">
        <w:rPr>
          <w:rFonts w:ascii="Palatino Linotype" w:hAnsi="Palatino Linotype"/>
          <w:sz w:val="24"/>
          <w:szCs w:val="24"/>
        </w:rPr>
        <w:t xml:space="preserve">, </w:t>
      </w:r>
      <w:r w:rsidR="00611A01" w:rsidRPr="00611A01">
        <w:rPr>
          <w:rFonts w:ascii="Palatino Linotype" w:hAnsi="Palatino Linotype"/>
          <w:sz w:val="24"/>
          <w:szCs w:val="24"/>
        </w:rPr>
        <w:t>inter-quartile range</w:t>
      </w:r>
      <w:r w:rsidR="00AF7806" w:rsidRPr="008D2F97">
        <w:rPr>
          <w:rFonts w:ascii="Palatino Linotype" w:hAnsi="Palatino Linotype"/>
          <w:sz w:val="24"/>
          <w:szCs w:val="24"/>
        </w:rPr>
        <w:t>;</w:t>
      </w:r>
      <w:r w:rsidR="008D2F97" w:rsidRPr="008D2F97">
        <w:rPr>
          <w:rFonts w:ascii="Palatino Linotype" w:hAnsi="Palatino Linotype"/>
          <w:sz w:val="24"/>
          <w:szCs w:val="24"/>
        </w:rPr>
        <w:t xml:space="preserve"> </w:t>
      </w:r>
      <w:r w:rsidR="00AF7806" w:rsidRPr="008D2F97">
        <w:rPr>
          <w:rFonts w:ascii="Palatino Linotype" w:hAnsi="Palatino Linotype"/>
          <w:sz w:val="24"/>
          <w:szCs w:val="24"/>
        </w:rPr>
        <w:t>SD, standard error</w:t>
      </w:r>
      <w:r w:rsidR="008245E7">
        <w:rPr>
          <w:rFonts w:ascii="Palatino Linotype" w:hAnsi="Palatino Linotype" w:hint="eastAsia"/>
          <w:sz w:val="24"/>
          <w:szCs w:val="24"/>
        </w:rPr>
        <w:t>; N</w:t>
      </w:r>
      <w:r w:rsidR="008E1E8B">
        <w:rPr>
          <w:rFonts w:ascii="Palatino Linotype" w:hAnsi="Palatino Linotype" w:hint="eastAsia"/>
          <w:sz w:val="24"/>
          <w:szCs w:val="24"/>
        </w:rPr>
        <w:t>o.</w:t>
      </w:r>
      <w:r w:rsidR="008245E7">
        <w:rPr>
          <w:rFonts w:ascii="Palatino Linotype" w:hAnsi="Palatino Linotype" w:hint="eastAsia"/>
          <w:sz w:val="24"/>
          <w:szCs w:val="24"/>
        </w:rPr>
        <w:t>, number</w:t>
      </w:r>
      <w:r w:rsidR="00AF7806" w:rsidRPr="008D2F97">
        <w:rPr>
          <w:rFonts w:ascii="Palatino Linotype" w:hAnsi="Palatino Linotype"/>
          <w:sz w:val="24"/>
          <w:szCs w:val="24"/>
        </w:rPr>
        <w:t>.</w:t>
      </w:r>
    </w:p>
    <w:sectPr w:rsidR="008E1E8B" w:rsidRPr="00597796" w:rsidSect="00026F85">
      <w:pgSz w:w="16838" w:h="11906" w:orient="landscape"/>
      <w:pgMar w:top="1134" w:right="1440" w:bottom="113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E8D" w:rsidRDefault="00110E8D" w:rsidP="00026F85">
      <w:r>
        <w:separator/>
      </w:r>
    </w:p>
  </w:endnote>
  <w:endnote w:type="continuationSeparator" w:id="0">
    <w:p w:rsidR="00110E8D" w:rsidRDefault="00110E8D" w:rsidP="00026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E8D" w:rsidRDefault="00110E8D" w:rsidP="00026F85">
      <w:r>
        <w:separator/>
      </w:r>
    </w:p>
  </w:footnote>
  <w:footnote w:type="continuationSeparator" w:id="0">
    <w:p w:rsidR="00110E8D" w:rsidRDefault="00110E8D" w:rsidP="00026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26F85"/>
    <w:rsid w:val="00026F85"/>
    <w:rsid w:val="00110E8D"/>
    <w:rsid w:val="00124325"/>
    <w:rsid w:val="00210CBF"/>
    <w:rsid w:val="00254E1A"/>
    <w:rsid w:val="00317AC4"/>
    <w:rsid w:val="00356146"/>
    <w:rsid w:val="0037212C"/>
    <w:rsid w:val="003D6088"/>
    <w:rsid w:val="003F66F6"/>
    <w:rsid w:val="004D012B"/>
    <w:rsid w:val="00597796"/>
    <w:rsid w:val="00611A01"/>
    <w:rsid w:val="006957DD"/>
    <w:rsid w:val="0073479A"/>
    <w:rsid w:val="0076761F"/>
    <w:rsid w:val="007A28B5"/>
    <w:rsid w:val="007D6FDB"/>
    <w:rsid w:val="008245E7"/>
    <w:rsid w:val="008D2F97"/>
    <w:rsid w:val="008E1E8B"/>
    <w:rsid w:val="00901EF6"/>
    <w:rsid w:val="00945597"/>
    <w:rsid w:val="009A4028"/>
    <w:rsid w:val="009B7A04"/>
    <w:rsid w:val="00A07CB6"/>
    <w:rsid w:val="00A8449B"/>
    <w:rsid w:val="00AF7806"/>
    <w:rsid w:val="00C40B5E"/>
    <w:rsid w:val="00C659CC"/>
    <w:rsid w:val="00CA3E9D"/>
    <w:rsid w:val="00D0421A"/>
    <w:rsid w:val="00EB70D1"/>
    <w:rsid w:val="00EC6792"/>
    <w:rsid w:val="00FD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7D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26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26F8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unhideWhenUsed/>
    <w:rsid w:val="00026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6F8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2EB15-81C0-4962-95D2-B1D5867DE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3</Pages>
  <Words>749</Words>
  <Characters>4273</Characters>
  <Application>Microsoft Office Word</Application>
  <DocSecurity>0</DocSecurity>
  <Lines>35</Lines>
  <Paragraphs>10</Paragraphs>
  <ScaleCrop>false</ScaleCrop>
  <Company>Microsoft</Company>
  <LinksUpToDate>false</LinksUpToDate>
  <CharactersWithSpaces>5012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Admin</cp:lastModifiedBy>
  <cp:revision>18</cp:revision>
  <dcterms:created xsi:type="dcterms:W3CDTF">2020-03-02T14:37:00Z</dcterms:created>
  <dcterms:modified xsi:type="dcterms:W3CDTF">2020-10-29T11:21:00Z</dcterms:modified>
</cp:coreProperties>
</file>