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>Pubmed：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dvOT1ef757c0" w:cs="Times New Roman"/>
          <w:color w:val="000000"/>
          <w:sz w:val="24"/>
          <w:szCs w:val="24"/>
        </w:rPr>
        <w:t>((((melatonin receptor agonist[Title/Abstract]) OR (5-methoxytryptamine[Title/Abstract])) OR (melatonin[Title/Abstract] OR melatonergic agent[Title/Abstract])) OR (melatonin[MeSH Major Topic])) AND ((Cerebral Hemorrhage[MeSH Major Topic]) OR ((((((((((((((((((((((Hemorrhage, Cerebrum[Title/Abstract]) OR (Cerebrum Hemorrhage[Title/Abstract])) OR (Hemorrhages, Cerebrum[Title/Abstract])) OR (Cerebral Parenchymal Hemorrhage[Title/Abstract])) OR (Cerebral Parenchymal Hemorrhages[Title/Abstract])) OR (Hemorrhage, Cerebral Parenchymal[Title/Abstract])) OR (Hemorrhages, Cerebral Parenchymal[Title/Abstract])) OR (Parenchymal Hemorrhage, Cerebral[Title/Abstract])) OR (Parenchymal Hemorrhages, Cerebral[Title/Abstract])) OR (Intracerebral Hemorrhage[Title/Abstract])) OR (Hemorrhage, Intracerebral[Title/Abstract])) OR (Hemorrhages, Intracerebral[Title/Abstract])) OR (Intracerebral Hemorrhages[Title/Abstract])) OR (Hemorrhage, Cerebral[Title/Abstract])) OR (Cerebral Hemorrhages[Title/Abstract])) OR (Hemorrhages, Cerebral[Title/Abstract])) OR (Brain Hemorrhage, Cerebral[Title/Abstract])) OR (Brain Hemorrhages, Cerebral[Title/Abstract])) OR (Cerebral Brain Hemorrhage[Title/Abstract])) OR (Cerebral Brain Hemorrhages[Title/Abstract])) OR (Hemorrhage, Cerebral Brain[Title/Abstract])) OR (Hemorrhages, Cerebral Brain[Title/Abstract])))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= 22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default" w:ascii="Times New Roman" w:hAnsi="Times New Roman" w:eastAsia="AdvOT1ef757c0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>Web of science：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eastAsia" w:ascii="Times New Roman" w:hAnsi="Times New Roman" w:eastAsia="AdvOT1ef757c0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#1 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</w:rPr>
        <w:t>TS</w:t>
      </w:r>
      <w:r>
        <w:rPr>
          <w:rFonts w:hint="default" w:ascii="Times New Roman" w:hAnsi="Times New Roman" w:eastAsia="AdvOT1ef757c0" w:cs="Times New Roman"/>
          <w:color w:val="000000"/>
          <w:sz w:val="24"/>
          <w:szCs w:val="24"/>
        </w:rPr>
        <w:t>= 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</w:rPr>
        <w:t>(Cerebral Hemorrhage OR Hemorrhage, Cerebrum OR Cerebrum Hemorrhage OR Hemorrhages, Cerebrum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</w:rPr>
        <w:t>OR Cerebral Parenchymal Hemorrhage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</w:rPr>
        <w:t>OR Cerebral Parenchymal Hemorrhages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</w:rPr>
        <w:t>OR Hemorrhage, Cerebral Parenchymal OR Hemorrhages, Cerebral Parenchymal OR Parenchymal Hemorrhage, Cerebral OR Parenchymal Hemorrhages, Cerebral OR Intracerebral Hemorrhage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</w:rPr>
        <w:t>OR Hemorrhage, Intracerebral OR Hemorrhages, Intracerebral OR Intracerebral Hemorrhages OR Hemorrhage, Cerebral OR Cerebral Hemorrhages OR Hemorrhages, Cerebral OR Brain Hemorrhage, Cerebral OR Brain Hemorrhages, Cerebral OR Cerebral Brain Hemorrhage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</w:rPr>
        <w:t>OR Cerebral Brain Hemorrhages OR Hemorrhage, Cerebral Brain OR Hemorrhages, Cerebral Brain)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eastAsia" w:ascii="Times New Roman" w:hAnsi="Times New Roman" w:eastAsia="AdvOT1ef757c0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#2 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</w:rPr>
        <w:t>TS</w:t>
      </w:r>
      <w:r>
        <w:rPr>
          <w:rFonts w:hint="default" w:ascii="Times New Roman" w:hAnsi="Times New Roman" w:eastAsia="AdvOT1ef757c0" w:cs="Times New Roman"/>
          <w:color w:val="000000"/>
          <w:sz w:val="24"/>
          <w:szCs w:val="24"/>
        </w:rPr>
        <w:t>=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</w:rPr>
        <w:t>(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melatonin OR 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</w:rPr>
        <w:t xml:space="preserve">melatonin receptor agonist OR 5-methoxytryptamine OR melatonergic agent)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Style w:val="4"/>
          <w:rFonts w:hint="default" w:ascii="Segoe UI" w:hAnsi="Segoe UI" w:cs="Segoe UI"/>
          <w:b/>
          <w:i w:val="0"/>
          <w:caps w:val="0"/>
          <w:color w:val="212121"/>
          <w:spacing w:val="0"/>
          <w:sz w:val="16"/>
          <w:szCs w:val="16"/>
          <w:shd w:val="clear" w:fill="F6F6F6"/>
          <w:lang w:val="en-US" w:eastAsia="zh-CN"/>
        </w:rPr>
      </w:pP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>#3=#1 AND #2,  = 98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>EMBASE: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default" w:ascii="Times New Roman" w:hAnsi="Times New Roman" w:eastAsia="AdvOT1ef757c0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#1 </w:t>
      </w:r>
      <w:r>
        <w:rPr>
          <w:rFonts w:hint="default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>'melatonin'/exp OR 'melatonin receptor agonist':ab,ti OR '5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- </w:t>
      </w:r>
      <w:bookmarkStart w:id="0" w:name="_GoBack"/>
      <w:bookmarkEnd w:id="0"/>
      <w:r>
        <w:rPr>
          <w:rFonts w:hint="default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>methoxytryptamine':ab,ti OR 'melatonergic agent':ab,ti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default" w:ascii="Times New Roman" w:hAnsi="Times New Roman" w:eastAsia="AdvOT1ef757c0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#2 </w:t>
      </w:r>
      <w:r>
        <w:rPr>
          <w:rFonts w:hint="default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>'</w:t>
      </w: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 xml:space="preserve">brain </w:t>
      </w:r>
      <w:r>
        <w:rPr>
          <w:rFonts w:hint="default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>hemorrhage'/exp OR 'hemorrhage, cerebrum':ab,ti OR 'cerebrum hemorrhage':ab,ti OR 'cerebrum hemorrhages':ab,ti OR 'hemorrhages, cerebrum':ab,ti OR 'cerebral parenchymal hemorrhage':ab,ti OR 'cerebral parenchymal hemorrhages':ab,ti OR 'hemorrhage, cerebral parenchymal':ab,ti OR 'hemorrhages, cerebral parenchymal':ab,ti OR 'parenchymal hemorrhage, cerebral':ab,ti OR 'parenchymal hemorrhages, cerebral':ab,ti OR 'intracerebral hemorrhage':ab,ti OR 'hemorrhage, intracerebral':ab,ti OR 'hemorrhages, intracerebral':ab,ti OR 'intracerebral hemorrhages':ab,ti OR 'hemorrhage, cerebral':ab,ti OR 'cerebral hemorrhages':ab,ti OR 'hemorrhages, cerebral':ab,ti OR 'brain hemorrhage, cerebral':ab,ti OR 'brain hemorrhages, cerebral':ab,ti OR 'cerebral brain hemorrhage':ab,ti OR 'cerebral brain hemorrhages':ab,ti OR 'hemorrhage, cerebral brain':ab,ti OR 'hemorrhages, cerebral brain':ab,ti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default" w:ascii="Times New Roman" w:hAnsi="Times New Roman" w:eastAsia="AdvOT1ef757c0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>#3=#1 AND #2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jc w:val="left"/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AdvOT1ef757c0" w:cs="Times New Roman"/>
          <w:color w:val="000000"/>
          <w:sz w:val="24"/>
          <w:szCs w:val="24"/>
          <w:lang w:val="en-US" w:eastAsia="zh-CN"/>
        </w:rPr>
        <w:t>（162篇）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dvOT1ef757c0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123CC"/>
    <w:rsid w:val="1210470A"/>
    <w:rsid w:val="14A82AB0"/>
    <w:rsid w:val="2D9B2F71"/>
    <w:rsid w:val="4280690B"/>
    <w:rsid w:val="44652F32"/>
    <w:rsid w:val="46A139CA"/>
    <w:rsid w:val="54EB53B2"/>
    <w:rsid w:val="62994927"/>
    <w:rsid w:val="667B5962"/>
    <w:rsid w:val="6BCF6929"/>
    <w:rsid w:val="70744BD7"/>
    <w:rsid w:val="70E0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2020-11-19T14:53:00Z</dcterms:created>
  <dc:creator>p2010</dc:creator>
  <cp:lastModifiedBy>妞妞</cp:lastModifiedBy>
  <dcterms:modified xsi:type="dcterms:W3CDTF">2020-11-19T16:57:42Z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