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27" w:rsidRPr="00222D1C" w:rsidRDefault="00C50F2E" w:rsidP="00653727">
      <w:pPr>
        <w:spacing w:line="240" w:lineRule="auto"/>
        <w:jc w:val="left"/>
        <w:rPr>
          <w:rStyle w:val="a"/>
          <w:rFonts w:asciiTheme="majorHAnsi" w:eastAsiaTheme="minorEastAsia" w:hAnsiTheme="majorHAnsi"/>
          <w:bCs/>
          <w:color w:val="auto"/>
          <w:sz w:val="22"/>
          <w:szCs w:val="22"/>
          <w:lang w:eastAsia="zh-TW"/>
        </w:rPr>
      </w:pPr>
      <w:bookmarkStart w:id="0" w:name="_GoBack"/>
      <w:bookmarkEnd w:id="0"/>
      <w:r w:rsidRPr="00222D1C">
        <w:rPr>
          <w:rFonts w:asciiTheme="majorHAnsi" w:eastAsiaTheme="minorEastAsia" w:hAnsiTheme="majorHAnsi"/>
          <w:b/>
          <w:noProof w:val="0"/>
          <w:color w:val="auto"/>
          <w:sz w:val="22"/>
          <w:szCs w:val="22"/>
          <w:lang w:eastAsia="zh-TW"/>
        </w:rPr>
        <w:t xml:space="preserve">Supplementary Table 8. </w:t>
      </w:r>
      <w:r w:rsidR="00653727" w:rsidRPr="00222D1C">
        <w:rPr>
          <w:rStyle w:val="a"/>
          <w:rFonts w:asciiTheme="majorHAnsi" w:hAnsiTheme="majorHAnsi"/>
          <w:b/>
          <w:bCs/>
          <w:color w:val="auto"/>
          <w:sz w:val="22"/>
          <w:szCs w:val="22"/>
        </w:rPr>
        <w:t xml:space="preserve">Pathway analysis of genes coexpressed with </w:t>
      </w:r>
      <w:r w:rsidR="009B2D8B" w:rsidRPr="00222D1C">
        <w:rPr>
          <w:rFonts w:asciiTheme="majorHAnsi" w:eastAsiaTheme="minorEastAsia" w:hAnsiTheme="majorHAnsi"/>
          <w:b/>
          <w:noProof w:val="0"/>
          <w:color w:val="auto"/>
          <w:sz w:val="22"/>
          <w:szCs w:val="22"/>
        </w:rPr>
        <w:t>proteasome 26S subunit, ATPase 6 (</w:t>
      </w:r>
      <w:r w:rsidR="00653727" w:rsidRPr="00222D1C">
        <w:rPr>
          <w:rStyle w:val="a"/>
          <w:rFonts w:asciiTheme="majorHAnsi" w:hAnsiTheme="majorHAnsi"/>
          <w:b/>
          <w:bCs/>
          <w:color w:val="auto"/>
          <w:sz w:val="22"/>
          <w:szCs w:val="22"/>
        </w:rPr>
        <w:t>PSMC</w:t>
      </w:r>
      <w:r w:rsidR="00653727" w:rsidRPr="00222D1C">
        <w:rPr>
          <w:rStyle w:val="a"/>
          <w:rFonts w:asciiTheme="majorHAnsi" w:eastAsiaTheme="minorEastAsia" w:hAnsiTheme="majorHAnsi"/>
          <w:b/>
          <w:bCs/>
          <w:color w:val="auto"/>
          <w:sz w:val="22"/>
          <w:szCs w:val="22"/>
          <w:lang w:eastAsia="zh-TW"/>
        </w:rPr>
        <w:t>6</w:t>
      </w:r>
      <w:r w:rsidR="009B2D8B" w:rsidRPr="00222D1C">
        <w:rPr>
          <w:rStyle w:val="a"/>
          <w:rFonts w:asciiTheme="majorHAnsi" w:eastAsiaTheme="minorEastAsia" w:hAnsiTheme="majorHAnsi"/>
          <w:b/>
          <w:bCs/>
          <w:color w:val="auto"/>
          <w:sz w:val="22"/>
          <w:szCs w:val="22"/>
          <w:lang w:eastAsia="zh-TW"/>
        </w:rPr>
        <w:t>)</w:t>
      </w:r>
      <w:r w:rsidR="00653727" w:rsidRPr="00222D1C">
        <w:rPr>
          <w:rStyle w:val="a"/>
          <w:rFonts w:asciiTheme="majorHAnsi" w:hAnsiTheme="majorHAnsi"/>
          <w:b/>
          <w:bCs/>
          <w:color w:val="auto"/>
          <w:sz w:val="22"/>
          <w:szCs w:val="22"/>
        </w:rPr>
        <w:t xml:space="preserve"> from public breast cancer databases using the MetaCore database (with </w:t>
      </w:r>
      <w:r w:rsidR="00653727" w:rsidRPr="00222D1C">
        <w:rPr>
          <w:rStyle w:val="a"/>
          <w:rFonts w:asciiTheme="majorHAnsi" w:hAnsiTheme="majorHAnsi"/>
          <w:b/>
          <w:bCs/>
          <w:i/>
          <w:iCs/>
          <w:color w:val="auto"/>
          <w:sz w:val="22"/>
          <w:szCs w:val="22"/>
        </w:rPr>
        <w:t>p</w:t>
      </w:r>
      <w:r w:rsidR="00653727" w:rsidRPr="00222D1C">
        <w:rPr>
          <w:rStyle w:val="a"/>
          <w:rFonts w:asciiTheme="majorHAnsi" w:hAnsiTheme="majorHAnsi"/>
          <w:b/>
          <w:bCs/>
          <w:color w:val="auto"/>
          <w:sz w:val="22"/>
          <w:szCs w:val="22"/>
        </w:rPr>
        <w:t>&lt;0.01 set as the cutoff value)</w:t>
      </w:r>
      <w:r w:rsidR="00AA6863" w:rsidRPr="00222D1C">
        <w:rPr>
          <w:rStyle w:val="a"/>
          <w:rFonts w:asciiTheme="majorHAnsi" w:hAnsiTheme="majorHAnsi"/>
          <w:b/>
          <w:bCs/>
          <w:color w:val="auto"/>
          <w:sz w:val="22"/>
          <w:szCs w:val="22"/>
        </w:rPr>
        <w:t>.</w:t>
      </w:r>
    </w:p>
    <w:p w:rsidR="00653727" w:rsidRPr="00886887" w:rsidRDefault="00653727" w:rsidP="00653727">
      <w:pPr>
        <w:pStyle w:val="MDPI62BackMatter"/>
        <w:spacing w:line="360" w:lineRule="auto"/>
        <w:ind w:leftChars="-212" w:left="1" w:hangingChars="177" w:hanging="425"/>
        <w:rPr>
          <w:rFonts w:ascii="Times New Roman" w:hAnsi="Times New Roman"/>
          <w:color w:val="auto"/>
          <w:sz w:val="24"/>
          <w:szCs w:val="24"/>
        </w:rPr>
      </w:pPr>
    </w:p>
    <w:tbl>
      <w:tblPr>
        <w:tblStyle w:val="11"/>
        <w:tblW w:w="15168" w:type="dxa"/>
        <w:tblLook w:val="04A0" w:firstRow="1" w:lastRow="0" w:firstColumn="1" w:lastColumn="0" w:noHBand="0" w:noVBand="1"/>
      </w:tblPr>
      <w:tblGrid>
        <w:gridCol w:w="439"/>
        <w:gridCol w:w="2963"/>
        <w:gridCol w:w="1134"/>
        <w:gridCol w:w="10632"/>
      </w:tblGrid>
      <w:tr w:rsidR="00886887" w:rsidRPr="00886887" w:rsidTr="00917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#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Map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i/>
                <w:noProof w:val="0"/>
                <w:color w:val="auto"/>
                <w:lang w:eastAsia="zh-TW"/>
              </w:rPr>
              <w:t>p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Value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>
            <w:pPr>
              <w:spacing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Network 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objects </w:t>
            </w: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 xml:space="preserve">from </w:t>
            </w:r>
            <w:r w:rsidR="00C02B87"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active data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Cytoskeleton remodeling_Regulation of actin cytoskeleton organization by the kinase effectors of Rho GTPases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7.91E-15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BETA-PIX, RhoA, WRCH-1, RhoJ, Destrin, F-Actin cytoskeleton, Spectrin, SLC9A1, PRK1, Myosin II, Caldesmon, Alpha-actinin, CPI-17, Alpha adducin, RhoC, LIMK1, RhoB, PIP5KI, MyHC, LIMK, MRCK, Talin, GIT1, ROCK, DMPK, Actomyosin, MRCKalpha, PAK, Rac1-related, Cdc42 subfamily, Vinculin, MSN (moesin), ERM proteins, MRLC, ARPC1B, RhoA-related, CDC42, Actin cytoskeletal, Filamin A, TC10, MLCK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transduction_Calcium-mediated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3.98E-13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14-3-3 epsilon, cPKC (conventional), MARK2, RelA (p65 NF-kB subunit), Calcineurin A (catalytic), c-Fos, MEK3(MAP2K3), c-Jun, ERK1/2, 14-3-3, CaMK I, CABIN1, AMPK alpha subunit, CBM complex, Myosin II, EGR1, HDAC4, MEF2, HDAC5, CaMK IV, MUNC13, p47-phox, IP3 receptor, CARD11, I-kB, ROCK, Calmodulin, PKC, NUR77, MYH11, PKC-alpha, MALT1, TORC2, CaMKK, CREB1, PPARGC1 (PGC1-alpha), JNK(MAPK8-10), Bcl-10, NF-kB, AKT(PKB), Elk-1, NF-AT2(NFATC1), IL-2, CaMKK2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Chemotaxis_Lysophosphatidic acid signaling via GPCRs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4.63E-11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E-cadherin, cPKC (conventional), G-protein alpha-12 family, AKT1, c-Fos, PKC-delta, Tcf(Lef), EGFR, G-protein alpha-i family, F-Actin cytoskeleton, c-Jun, ERK1/2, PRK1, ARHGEF1 (p115RhoGEF), HB-EGF, Beta-catenin, EGR1, HDAC7, G-protein alpha-q/11, LIMK, TRIP6, PLD2, CD36, IP3 receptor, LPAR2, p130CAS, ROCK, PRKD1, Bax, AP-1, GSK3 beta, Caspase-7, PAK, PDZ-RhoGEF, PKC, PLC-beta, FKHR, Vinculin, PLEKHG2, HAS2, Caspase-3, PLC-delta 1, FasR(CD95), Cyr61, CREB1, Bcl-XL, MEK1/2, G-protein beta/gamma, Rho GTPase, CDC42, Actin cytoskeletal, TAZ, JNK(MAPK8-10), MSK1, MKL1, CTGF, AKT(PKB), c-Src, PLC-beta3, ADAM17, Elk-1, PREX1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Reproduction_Gonadotropin-releasing hormone (GnRH)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1.11E-10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Pyk2(FAK2), GnRH1, GRB2, c-Fos, JunB, ATF-3, PKC-delta, MEK3(MAP2K3), c-Jun, ERK1/2, CaMK I, CACNA1C, EGR1, c-Jun/c-Fos, PKA-reg (cAMP-dependent), HDAC4, SOS, HDAC5, G-protein alpha-q/11, MKK7 (MAP2K7), p90Rsk, IP3 receptor, MEF2D, Shc, Dynamin-1, AP-1, PER1, G-protein alpha-s, Calmodulin, NUR77, PLC-beta, PACAP, Adenylate cyclase, MKP-1, MEK2(MAP2K2), CREB1, CDC42, JNK(MAPK8-10), c-Src, Secretogranin II, Elk-1, PKA-cat (cAMP-dependent)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 regulation of STK3/4 (Hippo) pathway and negative regulation of YAP/TAZ function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1.58E-10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GCGR, Willin, E-cadherin, SCRIB, MPP5, Cullin 2, STK3, beta-TrCP, Alpha-1 catenin, 14-3-3, AMPK alpha subunit, Casein kinase I epsilon, AMPK gamma subunit, Beta-catenin, PKA-reg (cAMP-dependent), PP2A cat (alpha), Alpha-catenin, RASSF2, WW45, MALS-3, Schwannomin (NF2), G-protein alpha-s, LKB1, STK4, Adenylate cyclase, CCDC85C, FasR(CD95), LIF, RASSF5, LATS2, Mol1b, Actin cytoskeletal, Skp2/TrCP/FBXW, TAZ, PEZ, Angiomotin (AMOT), LRR-1, AMOTL1 (Jeap), Axin, PKA-cat (cAMP-dependent)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CHDI_Correlations from Replication data_Causal network (positive correlations)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1.74E-10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Pyk2(FAK2), MHC class II, PI3K cat class IA, Calcineurin A (catalytic), CD45, Slp76, ICAM1, CD44, MEK3(MAP2K3), c-Jun, PSMC2, MSK1/2 (RPS6KA5/4), HDAC7, MEF2, NIK(MAP3K14), LAT, CaMK IV, IP3 receptor, VIL2 (ezrin), I-kB, ROCK, PKC-theta, Calmodulin, PKC-alpha, ZAP70, CD3, PLC-gamma 1, ITK, Caspase-3, CREB1, IP3R1, G-protein beta/gamma, PSD-95, CD83, JNK(MAPK8-10), CD40(TNFRSF5), NF-kB, AKT(PKB), HSP70, Calcineurin B (regulatory), SDF-1, CXCR4, MEKK4(MAP3K4)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2.1E-10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E-cadherin, HECTD1, LRP5/LRP6, Prickle-1, NOTCH1 receptor, c-Cbl, STK3, Tcf(Lef), PP1-cat, RIPK4, Amer1, beta-TrCP, Presenilin 1, Alpha-1 catenin, Casein kinase I epsilon, Beta-catenin, CYLD, PP2A catalytic, DAB2, Nucleoredoxin, SENP2, Dsh, A20, Casein kinase I alpha, YAP1/TAZ, G-protein alpha-13, MAP1LC3A, WWP1, PEG3, STK4, SIAH1, PKC-alpha, Porf-2, WNT, Beclin 1, GSK3 alpha/beta, LATS2, G-protein beta/gamma, Skp2/TrCP/FBXW, TAZ, Cyclin D1, NKD2, DACT3, Axin, Frizzled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Neurophysiological process_Dynein-dynactin motor complex in axonal transport in neurons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2.24E-10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Importin (karyopherin)-beta, Dynein 1, cytoplasmic, light chains, TrkC, ERK1/2, Importin (karyopherin)-alpha, HDAC6, TrkB, DYNC1I1, Vimentin, JSAP1, Ubiquitin, Hap-1, NGF, TMEM108, Rab-5A, Centractins, DYNLL, ORP1, Rab-7, Dynein 1, cytoplasmic, heavy chain, Tctex-1, Alpha-centractin, RILP (Rab interacting lysosomal protein), Kinesin heavy chain, MAPRE3(EB3), DYNLT, PRNP, AKT(PKB), Kinesin light chain, Dynein 1, cytoplasmic, intermediate chains, MAPRPE1(EB1), DYI2, NUDEL, Tubulin (in microtubules)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response_IL-3 signaling via JAK/STAT, p38, JNK and NF-kB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2.28E-10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Ephrin-B1, PU.1, ARNT, STAT5A, MHC class II, PI3K cat class IA, Cyclin D3, c-Fos, ICAM1, Tyk2, C/EBPbeta, XBP1, Lyn, MEK3(MAP2K3), RXRA, RAR-alpha/RXR-alpha, Bcl-6, MKK7 (MAP2K7), CD69, STAT3, I-kB, SRP9, Survivin, Cyclin A2, DPF3, MKP-1, RARalpha, NOTCH1 precursor, IL-6, Oncostatin M, Bcl-XL, TACI(TNFRSF13B), STAT5, Cyclin D1, IL3RA, CD40(TNFRSF5), NF-kB, STAT6, IRE1, AKT(PKB), NF-kB p50/p65, c-Src, c-Myc, Mcl-1, P-selectin, C3aR, BMP2, PKM2, E-selectin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10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Oxidative stress_ROS-induced cellular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3.66E-10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Casein kinase II, alpha chains, NOTCH1 (NICD), Thioredoxin, Chk2, Tuberin, ACACA, RelA (p65 NF-kB subunit), SREBP1 (nuclear), KEAP1, SCD, HIF1A, SRX1, ERK1/2, AMPK alpha subunit, EGR1, c-Jun/c-Fos, PKA-reg (cAMP-dependent), Pin1, NIK(MAP3K14), Isoform p66 Shc, Cytochrome c, FASN, HSPA1A, GSTP1, Syk, HSF1, NOTCH3 (3ICD), PRKD1, Bax, Sirtuin1, GSK3 beta, GPX1, PKC, LKB1, PTEN, DLC1 (Dynein LC8a), IRP2, GRP75, MDM2, c-Abl, IL-6, GADD45 alpha, Cyclin D1, JNK(MAPK8-10), HIF-prolyl hydroxylase, NF-kB, SAE2, AKT(PKB), NF-kB p50/p65, NRF2, c-Src, ADAM17, APEX, TNF-alpha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11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Development_PTHR1 in bone and cartilage development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4.35E-10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G-protein alpha-12 family, MMP-13, c-Fos, PTCH1, G-protein alpha-12, PP1-cat, ERK1/2, MEF2C, PTHR1, ALPL, Beta-catenin, c-Jun/c-Fos, PP2A regulatory, PKA-reg (cAMP-dependent), HDAC4, PP2A catalytic, G-protein alpha-q/11, QSK, PLD2, G-protein alpha-13, MEF2D, GSK3 beta, G-protein alpha-s, PKC, PLC-beta, PKC-alpha, Bone sialoprotein, TORC2, Adenylate cyclase, QIK, MKP-1, LRP6, CREB1, FZD1, IL-6, MEK1/2, Cyclin D1, Osteoprotegerin, IGF-1, PKA-cat (cAMP-dependent), SOX9, BMP2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12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Development_Positive regulation of WNT/Beta-catenin signaling in the cytoplasm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6.26E-10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Casein kinase II, alpha chains, GSKIP, HECTD1, LRP5/LRP6, BIG1, GRB2, SIAH2, IRS-2, Tcf(Lef), PP1-cat, RIPK4, 14-3-3 zeta/delta, Alpha-1 catenin, c-Jun, 14-3-3, TGT, Beta-catenin, HSP105, TGIF, SMAD4, PP2A catalytic, RNF220, Dsh, USP47, ZBED3, CDK1 (p34), Miz-1, SIAH1, USP9X, USP25, WNT, USP7, GSK3 alpha/beta, PP2C alpha, TBLR1, JNK(MAPK8-10), AKT(PKB), NKD2, Axin, PKA-cat (cAMP-dependent), Frizzled, SET7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13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response_M-CSF-receptor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7.47E-10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PU.1, RhoA, Pyk2(FAK2), STAT5A, PI3K cat class IA, ERK5 (MAPK7), GRB2, c-Fos, c-Cbl, Tyk2, FMIP, Tcf(Lef), ETS1, PRIM2A, c-Jun, ERK1/2, Beta-catenin, c-Jun/c-Fos, GAB3, STAT5B, PLD2, IP3 receptor, STAT3, Syk, Shc, p120GAP, AP-1, DAP12, Calmodulin, PKC, IL-34, PLC-gamma, MEK2(MAP2K2), CDC42, WASP, Fyn, Cyclin D1, NF-kB, AKT(PKB), c-Src, c-Myc, TSAD, Elk-1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14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Neurogenesis_NGF/ TrkA MAPK-mediated signaling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1.2E-09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Sequestosome 1(p62), SHPS-1, MATK, ERK5 (MAPK7), GRB2, c-Fos, NF-kB1 (p50), APS, JunB, Fra-1, PKC-delta, MEK3(MAP2K3), c-Jun, ERK1/2, MEF2C, HB-EGF, EGR1, PP2A regulatory, SGK1, PKA-reg (cAMP-dependent), SOS, PP2A catalytic, C3G, SH2B, p90Rsk, IP3 receptor, RAP-1A, p130CAS, NGF, Shc, AP-1, Calmodulin, NUR77, PLC-gamma 1, SNX26 (TCGAP), CREB1, MEK1/2, PLAUR (uPAR), SUR-8, Cyclin D1, M-Ras, MSK1, SORBS1, MMP-10, RGS2, PVR, JMJD3, SHB, c-Src, Elk-1, PKA-cat (cAMP-dependent)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15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II/ AGTR1 signaling via p38, ERK and PI3K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1.63E-09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Pyk2(FAK2), PI3K cat class IA, ERK5 (MAPK7), GRB2, PKC-delta, KLF5, ETS1, EGFR, eIF4E, ERK1/2, MEF2C, SP3, GCN5, PDGF-A, HB-EGF, EGR1, MSK1/2 (RPS6KA5/4), HDAC4, SOS, MNK1, Angiotensin II, PLD2, p90Rsk, p47-phox, CaMK II delta, Syk, p130CAS, Shc, Calmodulin, NUR77, FKHR, SOD3 (EC-SOD), cPLA2, MMP-14, CREB1, IL-6, MEK1/2, G-protein beta/gamma, PPARGC1 (PGC1-alpha), Fyn, G-protein alpha-q, Cyclin D1, AKT(PKB), c-Src, ADAM17, Elk-1, PKA-cat (cAMP-dependent), PDGF-R-beta, ATP7A, MEKK4(MAP3K4)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16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Development_VEGF signaling via VEGFR2 - generic cascades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3.21E-09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SPHK1, RhoA, Pyk2(FAK2), PI3K cat class IA, Calcineurin A (catalytic), GRB2, PAK2, MEK3(MAP2K3), TCF7L2 (TCF4), c-Jun, eIF4E, ERK1/2, Beta-catenin, c-Jun/c-Fos, SOS, MNK1, p90Rsk, IP3 receptor, I-kB, Shc, COX-1 (PTGS1), p120GAP, GSK3 beta, Calmodulin, PKC, PI3K reg class IA, Vinculin, PKC-alpha, PLC-gamma 1, MEK2(MAP2K2), eNOS, CREB1, PLAUR (uPAR), CDC42, Actin cytoskeletal, Fyn, MSK1, AKT(PKB), HSP90, NF-kB p50/p65, SHB, c-Src, TSAD, Calcineurin B (regulatory), ERK1 (MAPK3), NF-AT2(NFATC1), MLCK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17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IL-6 signaling in breast cancer cells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3.5E-09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E-cadherin, PI3K cat class IA, RelA (p65 NF-kB subunit), GRB2, c-Fos, NF-kB1 (p50), ESR1 (nuclear), C/EBPbeta, ERK1/2, JAB1, SOS, Vimentin, MDR1, STAT3, Shc, MUC1, Survivin, PI3K reg class IA, Fascin, CYP19, IL-6, Bcl-XL, MEK1/2, AKT2, Cyclin D1, SNAIL1, AKT(PKB), Jagged1, c-Myc, Mcl-1, Tensin 4, NOTCH3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18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transduction_CXCR4 signaling via MAPKs cascades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3.5E-09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Plectin 1, RhoA, RelA (p65 NF-kB subunit), c-Fos, NF-kB1 (p50), G-protein alpha-i family, c-Jun, ERK1/2, EGR1, p90RSK2(RPS6KA3), G-protein alpha-i2, G-protein alpha-13, CD69, Ubiquitin, ROCK, AP-1, PAK, ZAP70, CD3, CD3 zeta, CREB1, IL-6, MEK1/2, G-protein beta/gamma, JNK(MAPK8-10), CTGF, c-Src, Elk-1, SDF-1, CXCR4, IL-2, PREX1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19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response_TCR alpha/beta signaling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5.35E-09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STIM1, MHC class II, Calcineurin A (catalytic), STK39, CD45, Slp76, TRAF3, c-Fos, TRAF2, GLK(MAP4K3), ERK1/2, CABIN1, c-Jun/c-Fos, E2N(UBC13), Csk, Pannexin-1, Caspase-8, LAT, TRPV1, 14-3-3 theta, CaMK IV, IP3 receptor, CARD11, I-kB, MEF2D, AP-1, PKC-theta, Calmodulin, PKC-alpha, ZAP70, CD3, MALT1, PLC-gamma 1, ITK, P2X1, CD4, TAB1, MEK1/2, WASP, Fyn, Bcl-10, AKT(PKB), NF-kB p50/p65, UEV1A, Calcineurin B (regulatory), NF-AT2(NFATC1), IL-2, WaspIP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20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Apoptosis and survival_Regulation of apoptosis by mitochondrial proteins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6.13E-09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NIX, PLSCR3, Calcineurin A (catalytic), NOR1, IFI27, MPTP complex, PKC-delta, Fis1, Cathepsin H, 14-3-3 zeta/delta, ERK1/2, MAP1, BOK, BFL1, Pin1, PP2C, PP2A catalytic, PARL, VDAC 2, Bik, Cytochrome c, Caspase-8, MFF, OPA1, BMF, JSAP1, RAD9, NIP3, GZMH, Bax, OMA1, NUR77, SOD1, Kv1.3, SLC25A3, PP1-cat alpha, Beclin 1, Mitofusin 1, Bcl-XL, Cyclin A, VDAC 1, JNK(MAPK8-10), JNK2(MAPK9), MIDUO, Caveolin-1, Calpain 1(mu), DNM1L (DRP1), Mcl-1, Calcineurin B (regulatory), Smac/Diablo, Granzyme K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21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adhesion_Tight junctions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6.26E-09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Rich1, JAM2, Cingulin, MUPP1, EPB41, MPP5, F-Actin, ARP3, ACTR3, Myosin II, Claudin-1, Actin, DNMBP(TUBA), ROCK, Actomyosin, Myosin VIIA, PDZ-RhoGEF, Tubulin alpha, p114-RhoGEF, MRLC, CGNL1, Occludin, CDC42, Actin cytoskeletal, Angiomotin (AMOT), PARD6, Tubulin (in microtubules)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22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response_Antigen presentation by MHC class II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6.66E-09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MHC class II alpha chain, RhoA, Dectin-1, MHC class II, PI3K cat class IA, AKT1, HSC70, LLIR, c-Cbl, PKC-delta, CLEC9A, MYO1E, CLEC10A, ERK1/2, Fc alpha receptor, HSP90 alpha, CD79 complex, PLEKHM2, PSD4, ARL14, Dynamin-2, RhoB, MAP1LC3A, Syk, 14-3-3 beta/alpha, Dynamin-1, ORP1, Rab-7, ARHGEF2, CD74, Dynein 1, cytoplasmic, heavy chain, PKC, Alpha-centractin, CD79A, SPPL2a, RILP (Rab interacting lysosomal protein), Gie1, Kinesin heavy chain, PKC-alpha, CD79B, CD4, Beclin 1, Fc gamma RII beta, CDC42, JNK(MAPK8-10), Clathrin, TRIF (TICAM1), HSP90, CD23, Kinesin light chain, MHC class II beta chain, R-Ras, Dynein 1, cytoplasmic, intermediate chains, LRP1, Tubulin (in microtubules)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23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Development_Negative regulation of WNT/Beta-catenin signaling in the nucleus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6.77E-09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KDM2, LRP5/LRP6, AKT1, TRRAP, Calcineurin A (catalytic), RUNX3, c-Cbl, HBP1, Oct-3/4, PKC-delta, Tcf(Lef), CDX2, Alpha-1 catenin, TCF7L2 (TCF4), 14-3-3, Jade-1, Casein kinase I epsilon, Beta-catenin, BCL9/B9L, PC1-CTT, CHD8, TLE, SENP2, Dsh, Menin, NF-AT5, RNF43, GSK3 beta, Nephrocystin-4, HDAC2, WNT, eNOS, HIC1, LATS2, P15RS, CHIBBY, RANBP3, CtBP, TBLR1, HIC5, Axin, SOX9, CDX1, Frizzled, Histone H1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24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Signal transduction_Angiotensin II signaling via Beta-arrestin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8.88E-09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GRAF2, GRK6, EGFR, SET, eIF4E, ERK1/2, 14-3-3, CACNA1C, PP2A catalytic, MNK1, Angiotensin II, Casein kinase II, alpha' chain (CSNK2A2), p90Rsk, STAR, ROCK, GSK3 beta, AP-2 alpha subunits, GRK5, PLC-gamma 1, MRLC, Beta-adaptin 2, Bcl-XL, TRPV4, DGK, Clathrin, AKT(PKB), MYLK1, c-Src, Clathrin heavy chain, SSH1L, MLCK, p23 co-chaperone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25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response_B cell antigen receptor (BCR) pathway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9.37E-09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STIM1, RelA (p65 NF-kB subunit), LRRK1, Calcineurin A (catalytic), GRB2, c-Fos, NF-kB1 (p50), ICAM1, ETS1, Lyn, PIP5KIII, MEK3(MAP2K3), ERK1/2, EGR1, CD79 complex, PP2A catalytic, BCAP, PIP5KI, CD19, Btk, PI3K cat class IA (p110-delta), IP3 receptor, CARD11, Syk, HPK1(MAP4K1), Shc, GSK3 beta, Rb protein, Calmodulin, CD79A, CalDAG-GEFIII, FKHR, MALT1, PLC-gamma, CD79B, MEK2(MAP2K2), GSK3 alpha/beta, Bcl-XL, MEK1/2, CDC42, WASP, Actin cytoskeletal, Bcl-10, NF-kB, AKT(PKB), DAPP1, NF-kB p50/p65, Calcineurin B (regulatory), PLC-gamma 2, Elk-1, NF-AT2(NFATC1), MEKK4(MAP3K4)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26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Chemotaxis_SDF-1/ CXCR4-induced chemotaxis of immune cells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1.19E-08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BETA-PIX, RhoA, Pyk2(FAK2), PI3K cat class IA, CD45, CALDAG-GEFI, ICAM1, G-protein alpha-i family, F-Actin cytoskeleton, PAK2, ERK1/2, PKA-reg (cAMP-dependent), Csk, LIMK1, Btk, G-protein alpha-13, Talin, RAP-1A, p130CAS, Shc, PIPKI gamma, PAK, PLC-beta, Vinculin, PLEKHG2, ZAP70, CD3, CD3 zeta, ITK, RASSF5, MEK1/2, G-protein beta/gamma, CDC42, WASP, Fyn, AKT(PKB), SFK, TSAD, PLC-gamma 2, SDF-1, CXCR4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27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Cell adhesion_Histamine H1 receptor signaling in the interruption of cell barrier integrity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1.3E-08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RhoA, VE-cadherin, Pyk2(FAK2), E-cadherin, PKC-delta, Myosin II, Beta-catenin, Alpha-actinin, CPI-17, G-protein alpha-q/11, LIMK1, Alpha-catenin, IP3 receptor, Talin, p130CAS, ROCK, Calmodulin, PLC-beta, Vinculin, PKC-alpha, MRLC, Occludin, G-protein beta/gamma, Actin cytoskeletal, LIMK2, MELC, c-Src, MLCK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28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Immune response_Function of MEF2 in T lymphocytes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1.33E-08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HDAC9, ERK5 (MAPK7), Calcineurin A (catalytic), c-Jun, MEF2C, 14-3-3, CaMK I, CACNA1C, CABIN1, HDAC4, HDAC7, MEF2, HDAC5, LAT, NCOA2 (GRIP1/TIF2), CaMK IV, IP3 receptor, MEF2D, CARM1, Calmodulin, NUR77, HDAC2, ZAP70, CD3, MAP3K3, PCAF, PLC-gamma 1, CaMKK, Calcineurin A (beta), IL-2</w:t>
            </w:r>
          </w:p>
        </w:tc>
      </w:tr>
      <w:tr w:rsidR="00886887" w:rsidRPr="00886887" w:rsidTr="00917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29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WNT signaling in gastric cancer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1.99E-08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CD44, WNT9A, Tcf(Lef), beta-TrCP, TCF7L2 (TCF4), Beta-catenin, WNT10A, Dsh, Casein kinase I alpha, WNT1, Ubiquitin, WNT2B, GSK3 beta, SIAH1, WNT, WNT 8A, WNT10B, Skp2/TrCP/FBXW, Cyclin D1, SFRP1, Axin, FBXW11, Frizzled, TNF-alpha</w:t>
            </w:r>
          </w:p>
        </w:tc>
      </w:tr>
      <w:tr w:rsidR="00886887" w:rsidRPr="00886887" w:rsidTr="00917192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30</w:t>
            </w:r>
          </w:p>
        </w:tc>
        <w:tc>
          <w:tcPr>
            <w:tcW w:w="2963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G-protein signaling_Regulation of RAC1 activity</w:t>
            </w:r>
          </w:p>
        </w:tc>
        <w:tc>
          <w:tcPr>
            <w:tcW w:w="1134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1.99E-08</w:t>
            </w:r>
          </w:p>
        </w:tc>
        <w:tc>
          <w:tcPr>
            <w:tcW w:w="10632" w:type="dxa"/>
            <w:noWrap/>
            <w:hideMark/>
          </w:tcPr>
          <w:p w:rsidR="00653727" w:rsidRPr="00886887" w:rsidRDefault="00653727" w:rsidP="00653727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</w:pPr>
            <w:r w:rsidRPr="00886887">
              <w:rPr>
                <w:rFonts w:ascii="Times New Roman" w:eastAsia="PMingLiU" w:hAnsi="Times New Roman"/>
                <w:noProof w:val="0"/>
                <w:color w:val="auto"/>
                <w:lang w:eastAsia="zh-TW"/>
              </w:rPr>
              <w:t>ARCGAP22, SRGAP2(WRP), Slp76, ABR, BCR, ACK1, ARHGAP9, ARHGAP12, CD19, VIL2 (ezrin), ARHGEF4, ARHGAP24, ARHGEF2, GGTase-I, ZAP70, CD3, Rap1GDS1, DEF6, Caspase-3, p200RhoGAP, RacGAP1, Caspase-1, RalBP1, ECT2</w:t>
            </w:r>
          </w:p>
        </w:tc>
      </w:tr>
    </w:tbl>
    <w:p w:rsidR="00D21C13" w:rsidRPr="00886887" w:rsidRDefault="00D21C13" w:rsidP="005415B6">
      <w:pPr>
        <w:shd w:val="clear" w:color="auto" w:fill="FFFFFF"/>
        <w:tabs>
          <w:tab w:val="left" w:pos="3754"/>
        </w:tabs>
        <w:spacing w:before="100" w:after="120" w:line="360" w:lineRule="auto"/>
        <w:outlineLvl w:val="1"/>
        <w:rPr>
          <w:rFonts w:ascii="Times New Roman" w:hAnsi="Times New Roman"/>
          <w:noProof w:val="0"/>
          <w:color w:val="auto"/>
          <w:sz w:val="24"/>
          <w:szCs w:val="24"/>
        </w:rPr>
      </w:pPr>
    </w:p>
    <w:sectPr w:rsidR="00D21C13" w:rsidRPr="00886887" w:rsidSect="005415B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6840" w:h="11900" w:orient="landscape"/>
      <w:pgMar w:top="1440" w:right="1080" w:bottom="1440" w:left="1080" w:header="851" w:footer="992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7965D" w16cex:dateUtc="2021-05-25T20:29:00Z"/>
  <w16cex:commentExtensible w16cex:durableId="245603AB" w16cex:dateUtc="2021-05-24T15:51:00Z"/>
  <w16cex:commentExtensible w16cex:durableId="245797EE" w16cex:dateUtc="2021-05-25T20:36:00Z"/>
  <w16cex:commentExtensible w16cex:durableId="24579892" w16cex:dateUtc="2021-05-25T20:38:00Z"/>
  <w16cex:commentExtensible w16cex:durableId="2457985F" w16cex:dateUtc="2021-05-25T20:38:00Z"/>
  <w16cex:commentExtensible w16cex:durableId="24560619" w16cex:dateUtc="2021-05-24T16:01:00Z"/>
  <w16cex:commentExtensible w16cex:durableId="245607B5" w16cex:dateUtc="2021-05-24T16:08:00Z"/>
  <w16cex:commentExtensible w16cex:durableId="24560737" w16cex:dateUtc="2021-05-24T16:06:00Z"/>
  <w16cex:commentExtensible w16cex:durableId="2456076C" w16cex:dateUtc="2021-05-24T16:07:00Z"/>
  <w16cex:commentExtensible w16cex:durableId="245608FE" w16cex:dateUtc="2021-05-24T16:14:00Z"/>
  <w16cex:commentExtensible w16cex:durableId="24560A3F" w16cex:dateUtc="2021-05-24T16:19:00Z"/>
  <w16cex:commentExtensible w16cex:durableId="24563CFC" w16cex:dateUtc="2021-05-24T19:55:00Z"/>
  <w16cex:commentExtensible w16cex:durableId="24579B99" w16cex:dateUtc="2021-05-25T20:51:00Z"/>
  <w16cex:commentExtensible w16cex:durableId="24579C03" w16cex:dateUtc="2021-05-25T20:53:00Z"/>
  <w16cex:commentExtensible w16cex:durableId="24563EFA" w16cex:dateUtc="2021-05-24T20:04:00Z"/>
  <w16cex:commentExtensible w16cex:durableId="24563F81" w16cex:dateUtc="2021-05-24T20:06:00Z"/>
  <w16cex:commentExtensible w16cex:durableId="24563FB7" w16cex:dateUtc="2021-05-24T20:07:00Z"/>
  <w16cex:commentExtensible w16cex:durableId="24568D79" w16cex:dateUtc="2021-05-25T01:39:00Z"/>
  <w16cex:commentExtensible w16cex:durableId="2456420E" w16cex:dateUtc="2021-05-24T20:17:00Z"/>
  <w16cex:commentExtensible w16cex:durableId="24564450" w16cex:dateUtc="2021-05-24T20:27:00Z"/>
  <w16cex:commentExtensible w16cex:durableId="245644EE" w16cex:dateUtc="2021-05-24T20:29:00Z"/>
  <w16cex:commentExtensible w16cex:durableId="245645F3" w16cex:dateUtc="2021-05-24T20:34:00Z"/>
  <w16cex:commentExtensible w16cex:durableId="2456502C" w16cex:dateUtc="2021-05-24T21:17:00Z"/>
  <w16cex:commentExtensible w16cex:durableId="2456504C" w16cex:dateUtc="2021-05-24T21:18:00Z"/>
  <w16cex:commentExtensible w16cex:durableId="2456513F" w16cex:dateUtc="2021-05-24T21:22:00Z"/>
  <w16cex:commentExtensible w16cex:durableId="24565483" w16cex:dateUtc="2021-05-24T21:36:00Z"/>
  <w16cex:commentExtensible w16cex:durableId="2457A876" w16cex:dateUtc="2021-05-25T21:46:00Z"/>
  <w16cex:commentExtensible w16cex:durableId="24565537" w16cex:dateUtc="2021-05-24T21:39:00Z"/>
  <w16cex:commentExtensible w16cex:durableId="2456554D" w16cex:dateUtc="2021-05-24T21:39:00Z"/>
  <w16cex:commentExtensible w16cex:durableId="245655D0" w16cex:dateUtc="2021-05-24T21:41:00Z"/>
  <w16cex:commentExtensible w16cex:durableId="245656C9" w16cex:dateUtc="2021-05-24T21:46:00Z"/>
  <w16cex:commentExtensible w16cex:durableId="245656EB" w16cex:dateUtc="2021-05-24T21:46:00Z"/>
  <w16cex:commentExtensible w16cex:durableId="245656E3" w16cex:dateUtc="2021-05-24T21:46:00Z"/>
  <w16cex:commentExtensible w16cex:durableId="24565709" w16cex:dateUtc="2021-05-24T21:47:00Z"/>
  <w16cex:commentExtensible w16cex:durableId="24568EC0" w16cex:dateUtc="2021-05-25T01:44:00Z"/>
  <w16cex:commentExtensible w16cex:durableId="24565821" w16cex:dateUtc="2021-05-24T21:51:00Z"/>
  <w16cex:commentExtensible w16cex:durableId="245691B3" w16cex:dateUtc="2021-05-25T01:57:00Z"/>
  <w16cex:commentExtensible w16cex:durableId="245692A3" w16cex:dateUtc="2021-05-25T02:01:00Z"/>
  <w16cex:commentExtensible w16cex:durableId="245694E2" w16cex:dateUtc="2021-05-25T02:10:00Z"/>
  <w16cex:commentExtensible w16cex:durableId="24569B98" w16cex:dateUtc="2021-05-25T02:39:00Z"/>
  <w16cex:commentExtensible w16cex:durableId="24576D05" w16cex:dateUtc="2021-05-25T17:33:00Z"/>
  <w16cex:commentExtensible w16cex:durableId="24576E83" w16cex:dateUtc="2021-05-25T17:39:00Z"/>
  <w16cex:commentExtensible w16cex:durableId="24576F8D" w16cex:dateUtc="2021-05-25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29D4951" w16cid:durableId="2457965D"/>
  <w16cid:commentId w16cid:paraId="7B83AFC2" w16cid:durableId="245603AB"/>
  <w16cid:commentId w16cid:paraId="1CF1D53C" w16cid:durableId="245797EE"/>
  <w16cid:commentId w16cid:paraId="4895F768" w16cid:durableId="24579892"/>
  <w16cid:commentId w16cid:paraId="1B466051" w16cid:durableId="2457985F"/>
  <w16cid:commentId w16cid:paraId="63AF087B" w16cid:durableId="24560619"/>
  <w16cid:commentId w16cid:paraId="7F095995" w16cid:durableId="245607B5"/>
  <w16cid:commentId w16cid:paraId="473F99DC" w16cid:durableId="24560737"/>
  <w16cid:commentId w16cid:paraId="3B750FF7" w16cid:durableId="2456076C"/>
  <w16cid:commentId w16cid:paraId="4DDB8A7C" w16cid:durableId="245608FE"/>
  <w16cid:commentId w16cid:paraId="2FB54531" w16cid:durableId="24560A3F"/>
  <w16cid:commentId w16cid:paraId="570ACF1B" w16cid:durableId="24563CFC"/>
  <w16cid:commentId w16cid:paraId="40E32BB6" w16cid:durableId="24579B99"/>
  <w16cid:commentId w16cid:paraId="690B64BE" w16cid:durableId="24579C03"/>
  <w16cid:commentId w16cid:paraId="406CEB5E" w16cid:durableId="24563EFA"/>
  <w16cid:commentId w16cid:paraId="3FD292F0" w16cid:durableId="24563F81"/>
  <w16cid:commentId w16cid:paraId="20781BFF" w16cid:durableId="24563FB7"/>
  <w16cid:commentId w16cid:paraId="53116599" w16cid:durableId="24568D79"/>
  <w16cid:commentId w16cid:paraId="17AF774C" w16cid:durableId="2456420E"/>
  <w16cid:commentId w16cid:paraId="7842CD5F" w16cid:durableId="24564450"/>
  <w16cid:commentId w16cid:paraId="3CB07609" w16cid:durableId="245644EE"/>
  <w16cid:commentId w16cid:paraId="2834DFFB" w16cid:durableId="245645F3"/>
  <w16cid:commentId w16cid:paraId="36DE6464" w16cid:durableId="2456502C"/>
  <w16cid:commentId w16cid:paraId="71F874F3" w16cid:durableId="2456504C"/>
  <w16cid:commentId w16cid:paraId="2208B371" w16cid:durableId="2456513F"/>
  <w16cid:commentId w16cid:paraId="426742E2" w16cid:durableId="24565483"/>
  <w16cid:commentId w16cid:paraId="0B4EAEE0" w16cid:durableId="2457A876"/>
  <w16cid:commentId w16cid:paraId="3A21FB6F" w16cid:durableId="24565537"/>
  <w16cid:commentId w16cid:paraId="2C792BD7" w16cid:durableId="2456554D"/>
  <w16cid:commentId w16cid:paraId="79D2D833" w16cid:durableId="245655D0"/>
  <w16cid:commentId w16cid:paraId="349F2D8B" w16cid:durableId="245656C9"/>
  <w16cid:commentId w16cid:paraId="5F846F14" w16cid:durableId="245656EB"/>
  <w16cid:commentId w16cid:paraId="510EA4C6" w16cid:durableId="245656E3"/>
  <w16cid:commentId w16cid:paraId="2CA74076" w16cid:durableId="24565709"/>
  <w16cid:commentId w16cid:paraId="78AA6D33" w16cid:durableId="24568EC0"/>
  <w16cid:commentId w16cid:paraId="73869328" w16cid:durableId="24565821"/>
  <w16cid:commentId w16cid:paraId="3A0A1B4C" w16cid:durableId="245691B3"/>
  <w16cid:commentId w16cid:paraId="4D558E49" w16cid:durableId="245692A3"/>
  <w16cid:commentId w16cid:paraId="71F25092" w16cid:durableId="245694E2"/>
  <w16cid:commentId w16cid:paraId="7C264C05" w16cid:durableId="24569B98"/>
  <w16cid:commentId w16cid:paraId="2CFE7E9E" w16cid:durableId="24576D05"/>
  <w16cid:commentId w16cid:paraId="50BE6109" w16cid:durableId="24576E83"/>
  <w16cid:commentId w16cid:paraId="0BB4802C" w16cid:durableId="24576F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1F" w:rsidRDefault="006E471F">
      <w:pPr>
        <w:spacing w:line="240" w:lineRule="auto"/>
      </w:pPr>
      <w:r>
        <w:separator/>
      </w:r>
    </w:p>
  </w:endnote>
  <w:endnote w:type="continuationSeparator" w:id="0">
    <w:p w:rsidR="006E471F" w:rsidRDefault="006E47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467AEF" w:rsidRDefault="00A31483" w:rsidP="00FA23F5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A91731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A31483" w:rsidRPr="00372FCD" w:rsidRDefault="00A31483" w:rsidP="00342713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917192">
      <w:rPr>
        <w:i/>
        <w:sz w:val="16"/>
        <w:szCs w:val="16"/>
        <w:lang w:val="es-MX"/>
      </w:rPr>
      <w:t xml:space="preserve">Genes </w:t>
    </w:r>
    <w:r w:rsidRPr="00917192">
      <w:rPr>
        <w:b/>
        <w:bCs/>
        <w:iCs/>
        <w:sz w:val="16"/>
        <w:szCs w:val="16"/>
        <w:lang w:val="es-MX"/>
      </w:rPr>
      <w:t>2021</w:t>
    </w:r>
    <w:r w:rsidRPr="00917192">
      <w:rPr>
        <w:bCs/>
        <w:iCs/>
        <w:sz w:val="16"/>
        <w:szCs w:val="16"/>
        <w:lang w:val="es-MX"/>
      </w:rPr>
      <w:t xml:space="preserve">, </w:t>
    </w:r>
    <w:r w:rsidRPr="00917192">
      <w:rPr>
        <w:bCs/>
        <w:i/>
        <w:iCs/>
        <w:sz w:val="16"/>
        <w:szCs w:val="16"/>
        <w:lang w:val="es-MX"/>
      </w:rPr>
      <w:t>12</w:t>
    </w:r>
    <w:r w:rsidRPr="00917192">
      <w:rPr>
        <w:bCs/>
        <w:iCs/>
        <w:sz w:val="16"/>
        <w:szCs w:val="16"/>
        <w:lang w:val="es-MX"/>
      </w:rPr>
      <w:t>, x. https://doi.org/10.3390/xxxxx</w:t>
    </w:r>
    <w:r w:rsidRPr="00372FCD">
      <w:rPr>
        <w:sz w:val="16"/>
        <w:szCs w:val="16"/>
        <w:lang w:val="fr-CH"/>
      </w:rPr>
      <w:tab/>
      <w:t>www.mdpi.com/journal/</w:t>
    </w:r>
    <w:r w:rsidRPr="00917192">
      <w:rPr>
        <w:sz w:val="16"/>
        <w:szCs w:val="16"/>
        <w:lang w:val="es-MX"/>
      </w:rPr>
      <w:t>genes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1F" w:rsidRDefault="006E471F">
      <w:pPr>
        <w:spacing w:line="240" w:lineRule="auto"/>
      </w:pPr>
      <w:r>
        <w:separator/>
      </w:r>
    </w:p>
  </w:footnote>
  <w:footnote w:type="continuationSeparator" w:id="0">
    <w:p w:rsidR="006E471F" w:rsidRDefault="006E47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Default="00A31483" w:rsidP="00FA23F5">
    <w:pPr>
      <w:pStyle w:val="Header"/>
      <w:pBdr>
        <w:bottom w:val="none" w:sz="0" w:space="0" w:color="auto"/>
      </w:pBdr>
    </w:pPr>
  </w:p>
  <w:p w:rsidR="00A31483" w:rsidRDefault="00A314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83" w:rsidRPr="002F100C" w:rsidRDefault="00A31483" w:rsidP="00A91731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  <w:p w:rsidR="00A31483" w:rsidRDefault="00A3148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A31483" w:rsidRPr="00342713" w:rsidTr="00342713">
      <w:trPr>
        <w:trHeight w:val="686"/>
      </w:trPr>
      <w:tc>
        <w:tcPr>
          <w:tcW w:w="3679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</w:p>
      </w:tc>
      <w:tc>
        <w:tcPr>
          <w:tcW w:w="4535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:rsidR="00A31483" w:rsidRPr="000A2FDD" w:rsidRDefault="00A31483" w:rsidP="00342713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:rsidR="00A31483" w:rsidRPr="00D6508E" w:rsidRDefault="00A31483" w:rsidP="00A91731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>
    <w:nsid w:val="250A245F"/>
    <w:multiLevelType w:val="hybridMultilevel"/>
    <w:tmpl w:val="3C0031F4"/>
    <w:lvl w:ilvl="0" w:tplc="DC9853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7">
    <w:nsid w:val="706D5736"/>
    <w:multiLevelType w:val="hybridMultilevel"/>
    <w:tmpl w:val="E3640C5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eastAsia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6"/>
  </w:num>
  <w:num w:numId="9">
    <w:abstractNumId w:val="1"/>
  </w:num>
  <w:num w:numId="10">
    <w:abstractNumId w:val="6"/>
  </w:num>
  <w:num w:numId="11">
    <w:abstractNumId w:val="1"/>
  </w:num>
  <w:num w:numId="12">
    <w:abstractNumId w:val="7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hyphenationZone w:val="425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xMbYwNTUwNzY2szBW0lEKTi0uzszPAykwMqsFACCH3lo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ging Copy&lt;/Style&gt;&lt;LeftDelim&gt;{&lt;/LeftDelim&gt;&lt;RightDelim&gt;}&lt;/RightDelim&gt;&lt;FontName&gt;Palatino Linotype&lt;/FontName&gt;&lt;FontSize&gt;9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rdvvwwd80sezpe2fa85a59nrdvtdftpxpxr&quot;&gt;PSMC-052121&lt;record-ids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6&lt;/item&gt;&lt;item&gt;47&lt;/item&gt;&lt;item&gt;50&lt;/item&gt;&lt;item&gt;53&lt;/item&gt;&lt;item&gt;56&lt;/item&gt;&lt;item&gt;57&lt;/item&gt;&lt;item&gt;58&lt;/item&gt;&lt;item&gt;59&lt;/item&gt;&lt;item&gt;60&lt;/item&gt;&lt;item&gt;61&lt;/item&gt;&lt;item&gt;62&lt;/item&gt;&lt;item&gt;63&lt;/item&gt;&lt;item&gt;64&lt;/item&gt;&lt;/record-ids&gt;&lt;/item&gt;&lt;/Libraries&gt;"/>
  </w:docVars>
  <w:rsids>
    <w:rsidRoot w:val="000E561B"/>
    <w:rsid w:val="0000019E"/>
    <w:rsid w:val="000039AC"/>
    <w:rsid w:val="00011CBB"/>
    <w:rsid w:val="00015545"/>
    <w:rsid w:val="00022D40"/>
    <w:rsid w:val="0002334D"/>
    <w:rsid w:val="00023C38"/>
    <w:rsid w:val="00025095"/>
    <w:rsid w:val="00032323"/>
    <w:rsid w:val="00035323"/>
    <w:rsid w:val="00045280"/>
    <w:rsid w:val="0004637F"/>
    <w:rsid w:val="000530CE"/>
    <w:rsid w:val="00055E20"/>
    <w:rsid w:val="000626CB"/>
    <w:rsid w:val="0006287F"/>
    <w:rsid w:val="00063529"/>
    <w:rsid w:val="00065933"/>
    <w:rsid w:val="00067BDC"/>
    <w:rsid w:val="00067C97"/>
    <w:rsid w:val="000830DB"/>
    <w:rsid w:val="0008351B"/>
    <w:rsid w:val="0008670A"/>
    <w:rsid w:val="0008725A"/>
    <w:rsid w:val="000A2FDD"/>
    <w:rsid w:val="000A5F80"/>
    <w:rsid w:val="000B49B5"/>
    <w:rsid w:val="000B5105"/>
    <w:rsid w:val="000B5B90"/>
    <w:rsid w:val="000C1750"/>
    <w:rsid w:val="000C3F3C"/>
    <w:rsid w:val="000D147E"/>
    <w:rsid w:val="000D1A30"/>
    <w:rsid w:val="000D3611"/>
    <w:rsid w:val="000D65F6"/>
    <w:rsid w:val="000E3EAC"/>
    <w:rsid w:val="000E561B"/>
    <w:rsid w:val="000F1AA5"/>
    <w:rsid w:val="000F48B2"/>
    <w:rsid w:val="001019B4"/>
    <w:rsid w:val="00106136"/>
    <w:rsid w:val="00106FCF"/>
    <w:rsid w:val="0011176D"/>
    <w:rsid w:val="0011797A"/>
    <w:rsid w:val="00124411"/>
    <w:rsid w:val="0013090A"/>
    <w:rsid w:val="00134CAD"/>
    <w:rsid w:val="0014041C"/>
    <w:rsid w:val="0014631E"/>
    <w:rsid w:val="00150977"/>
    <w:rsid w:val="001554B7"/>
    <w:rsid w:val="00156F2C"/>
    <w:rsid w:val="0016125B"/>
    <w:rsid w:val="00163A5F"/>
    <w:rsid w:val="001722BC"/>
    <w:rsid w:val="001A70C2"/>
    <w:rsid w:val="001B0134"/>
    <w:rsid w:val="001B355A"/>
    <w:rsid w:val="001C106A"/>
    <w:rsid w:val="001D27E4"/>
    <w:rsid w:val="001E1B27"/>
    <w:rsid w:val="001E1DA3"/>
    <w:rsid w:val="001E2AEB"/>
    <w:rsid w:val="001F36E3"/>
    <w:rsid w:val="001F567A"/>
    <w:rsid w:val="001F745E"/>
    <w:rsid w:val="00217440"/>
    <w:rsid w:val="00222D1C"/>
    <w:rsid w:val="00230D88"/>
    <w:rsid w:val="002356F5"/>
    <w:rsid w:val="0024308E"/>
    <w:rsid w:val="0024544F"/>
    <w:rsid w:val="00252B78"/>
    <w:rsid w:val="00261496"/>
    <w:rsid w:val="00263547"/>
    <w:rsid w:val="002667CE"/>
    <w:rsid w:val="0027229A"/>
    <w:rsid w:val="00280BFE"/>
    <w:rsid w:val="00282B27"/>
    <w:rsid w:val="00285AE2"/>
    <w:rsid w:val="00287613"/>
    <w:rsid w:val="00290BF9"/>
    <w:rsid w:val="00291BBB"/>
    <w:rsid w:val="002A0B93"/>
    <w:rsid w:val="002A3E83"/>
    <w:rsid w:val="002A763B"/>
    <w:rsid w:val="002B3AB7"/>
    <w:rsid w:val="002B5196"/>
    <w:rsid w:val="002B780B"/>
    <w:rsid w:val="002C567B"/>
    <w:rsid w:val="002D0184"/>
    <w:rsid w:val="002D3738"/>
    <w:rsid w:val="002D4021"/>
    <w:rsid w:val="002D6B37"/>
    <w:rsid w:val="002E4EBE"/>
    <w:rsid w:val="002E5782"/>
    <w:rsid w:val="002F0ECF"/>
    <w:rsid w:val="002F3910"/>
    <w:rsid w:val="00301C57"/>
    <w:rsid w:val="00326141"/>
    <w:rsid w:val="00332F4B"/>
    <w:rsid w:val="00336E1A"/>
    <w:rsid w:val="00342713"/>
    <w:rsid w:val="00353629"/>
    <w:rsid w:val="00354F26"/>
    <w:rsid w:val="00357E32"/>
    <w:rsid w:val="00376AEF"/>
    <w:rsid w:val="003778CB"/>
    <w:rsid w:val="00385609"/>
    <w:rsid w:val="003909D8"/>
    <w:rsid w:val="00393997"/>
    <w:rsid w:val="00396135"/>
    <w:rsid w:val="003A37F1"/>
    <w:rsid w:val="003B7399"/>
    <w:rsid w:val="003B77A5"/>
    <w:rsid w:val="003B77A7"/>
    <w:rsid w:val="003B7BD4"/>
    <w:rsid w:val="003C0447"/>
    <w:rsid w:val="003C2819"/>
    <w:rsid w:val="003C4284"/>
    <w:rsid w:val="003C7163"/>
    <w:rsid w:val="003D2DD9"/>
    <w:rsid w:val="003E0508"/>
    <w:rsid w:val="003F482E"/>
    <w:rsid w:val="00401D30"/>
    <w:rsid w:val="00416DA6"/>
    <w:rsid w:val="00422D6F"/>
    <w:rsid w:val="00435CBC"/>
    <w:rsid w:val="00440DD9"/>
    <w:rsid w:val="004442A6"/>
    <w:rsid w:val="00446967"/>
    <w:rsid w:val="00450FAE"/>
    <w:rsid w:val="0045669F"/>
    <w:rsid w:val="0047297B"/>
    <w:rsid w:val="00473F8B"/>
    <w:rsid w:val="00476FB6"/>
    <w:rsid w:val="00487ED6"/>
    <w:rsid w:val="004A1146"/>
    <w:rsid w:val="004A4C41"/>
    <w:rsid w:val="004B111E"/>
    <w:rsid w:val="004C198E"/>
    <w:rsid w:val="004D1A48"/>
    <w:rsid w:val="004D1F61"/>
    <w:rsid w:val="004D25C3"/>
    <w:rsid w:val="004D35B3"/>
    <w:rsid w:val="004D405F"/>
    <w:rsid w:val="004E1EFF"/>
    <w:rsid w:val="004E3799"/>
    <w:rsid w:val="004F3C82"/>
    <w:rsid w:val="00505E87"/>
    <w:rsid w:val="0051702C"/>
    <w:rsid w:val="005243A6"/>
    <w:rsid w:val="0052648F"/>
    <w:rsid w:val="005269F7"/>
    <w:rsid w:val="00530721"/>
    <w:rsid w:val="005415B6"/>
    <w:rsid w:val="00542046"/>
    <w:rsid w:val="00544826"/>
    <w:rsid w:val="005450AA"/>
    <w:rsid w:val="00545C5A"/>
    <w:rsid w:val="00547CE3"/>
    <w:rsid w:val="00550DEA"/>
    <w:rsid w:val="00550F9C"/>
    <w:rsid w:val="005659D9"/>
    <w:rsid w:val="00571016"/>
    <w:rsid w:val="005712BD"/>
    <w:rsid w:val="0057306D"/>
    <w:rsid w:val="00574C21"/>
    <w:rsid w:val="00577FA1"/>
    <w:rsid w:val="005803BD"/>
    <w:rsid w:val="005846F8"/>
    <w:rsid w:val="0059315A"/>
    <w:rsid w:val="005945B1"/>
    <w:rsid w:val="005A2CEA"/>
    <w:rsid w:val="005A3FA2"/>
    <w:rsid w:val="005B15BC"/>
    <w:rsid w:val="005C2092"/>
    <w:rsid w:val="005C5F9A"/>
    <w:rsid w:val="005D0B31"/>
    <w:rsid w:val="005D64AC"/>
    <w:rsid w:val="005D747D"/>
    <w:rsid w:val="005E04E5"/>
    <w:rsid w:val="005E1630"/>
    <w:rsid w:val="005E51E1"/>
    <w:rsid w:val="005F15B1"/>
    <w:rsid w:val="005F3333"/>
    <w:rsid w:val="006005F4"/>
    <w:rsid w:val="00605483"/>
    <w:rsid w:val="00613EAA"/>
    <w:rsid w:val="00623D76"/>
    <w:rsid w:val="00626332"/>
    <w:rsid w:val="00634287"/>
    <w:rsid w:val="006365E4"/>
    <w:rsid w:val="00647085"/>
    <w:rsid w:val="006473C6"/>
    <w:rsid w:val="00653727"/>
    <w:rsid w:val="00657201"/>
    <w:rsid w:val="00660DCC"/>
    <w:rsid w:val="00670D7E"/>
    <w:rsid w:val="00677F90"/>
    <w:rsid w:val="00681A56"/>
    <w:rsid w:val="0068622D"/>
    <w:rsid w:val="0069077C"/>
    <w:rsid w:val="00692393"/>
    <w:rsid w:val="00696509"/>
    <w:rsid w:val="006A0917"/>
    <w:rsid w:val="006B3DF9"/>
    <w:rsid w:val="006B4208"/>
    <w:rsid w:val="006B52A6"/>
    <w:rsid w:val="006D4291"/>
    <w:rsid w:val="006D7060"/>
    <w:rsid w:val="006E06CC"/>
    <w:rsid w:val="006E3AC9"/>
    <w:rsid w:val="006E471F"/>
    <w:rsid w:val="006E5D0D"/>
    <w:rsid w:val="006E6DCA"/>
    <w:rsid w:val="006F6922"/>
    <w:rsid w:val="007013B5"/>
    <w:rsid w:val="00706EDF"/>
    <w:rsid w:val="007075B5"/>
    <w:rsid w:val="007128CC"/>
    <w:rsid w:val="0071344D"/>
    <w:rsid w:val="00720AAD"/>
    <w:rsid w:val="0072223B"/>
    <w:rsid w:val="00723E9A"/>
    <w:rsid w:val="00731B91"/>
    <w:rsid w:val="007430E4"/>
    <w:rsid w:val="007507CA"/>
    <w:rsid w:val="007554C6"/>
    <w:rsid w:val="007666AD"/>
    <w:rsid w:val="00766E78"/>
    <w:rsid w:val="00767B2E"/>
    <w:rsid w:val="007709BE"/>
    <w:rsid w:val="007743EB"/>
    <w:rsid w:val="00781F87"/>
    <w:rsid w:val="00786B8B"/>
    <w:rsid w:val="00793B50"/>
    <w:rsid w:val="00796CDF"/>
    <w:rsid w:val="007B63FA"/>
    <w:rsid w:val="007B77CA"/>
    <w:rsid w:val="007C0F8C"/>
    <w:rsid w:val="007C7820"/>
    <w:rsid w:val="007E0EBA"/>
    <w:rsid w:val="007E7B10"/>
    <w:rsid w:val="007F0CC7"/>
    <w:rsid w:val="007F118C"/>
    <w:rsid w:val="007F14C8"/>
    <w:rsid w:val="00801711"/>
    <w:rsid w:val="008128ED"/>
    <w:rsid w:val="0081341E"/>
    <w:rsid w:val="00824326"/>
    <w:rsid w:val="0084094A"/>
    <w:rsid w:val="00845761"/>
    <w:rsid w:val="00856497"/>
    <w:rsid w:val="00860383"/>
    <w:rsid w:val="00862478"/>
    <w:rsid w:val="00863B26"/>
    <w:rsid w:val="0087128F"/>
    <w:rsid w:val="00871BE6"/>
    <w:rsid w:val="00872014"/>
    <w:rsid w:val="00876DC2"/>
    <w:rsid w:val="00886887"/>
    <w:rsid w:val="00891FC3"/>
    <w:rsid w:val="00897F70"/>
    <w:rsid w:val="008B21BE"/>
    <w:rsid w:val="008C1D0B"/>
    <w:rsid w:val="008C3669"/>
    <w:rsid w:val="008C7FEE"/>
    <w:rsid w:val="008D0BA7"/>
    <w:rsid w:val="008E72FA"/>
    <w:rsid w:val="008F30DE"/>
    <w:rsid w:val="008F4368"/>
    <w:rsid w:val="008F5289"/>
    <w:rsid w:val="009003EB"/>
    <w:rsid w:val="00904C30"/>
    <w:rsid w:val="00906F3C"/>
    <w:rsid w:val="00916AE9"/>
    <w:rsid w:val="00917192"/>
    <w:rsid w:val="00926FD7"/>
    <w:rsid w:val="009301B9"/>
    <w:rsid w:val="00930542"/>
    <w:rsid w:val="00941FC7"/>
    <w:rsid w:val="009534F5"/>
    <w:rsid w:val="00966151"/>
    <w:rsid w:val="00973F02"/>
    <w:rsid w:val="00975153"/>
    <w:rsid w:val="009908D7"/>
    <w:rsid w:val="0099628F"/>
    <w:rsid w:val="00997739"/>
    <w:rsid w:val="009A0C87"/>
    <w:rsid w:val="009A2585"/>
    <w:rsid w:val="009A3D3E"/>
    <w:rsid w:val="009A5A18"/>
    <w:rsid w:val="009B2D8B"/>
    <w:rsid w:val="009B31B2"/>
    <w:rsid w:val="009B51D5"/>
    <w:rsid w:val="009B62F9"/>
    <w:rsid w:val="009C076F"/>
    <w:rsid w:val="009D0ACD"/>
    <w:rsid w:val="009E00B0"/>
    <w:rsid w:val="009F07A9"/>
    <w:rsid w:val="009F179E"/>
    <w:rsid w:val="009F70E6"/>
    <w:rsid w:val="00A022A5"/>
    <w:rsid w:val="00A04F72"/>
    <w:rsid w:val="00A31483"/>
    <w:rsid w:val="00A47DF1"/>
    <w:rsid w:val="00A505CE"/>
    <w:rsid w:val="00A539C3"/>
    <w:rsid w:val="00A53B52"/>
    <w:rsid w:val="00A541C1"/>
    <w:rsid w:val="00A64DF4"/>
    <w:rsid w:val="00A663B1"/>
    <w:rsid w:val="00A6652B"/>
    <w:rsid w:val="00A6674C"/>
    <w:rsid w:val="00A7127A"/>
    <w:rsid w:val="00A71850"/>
    <w:rsid w:val="00A74AB5"/>
    <w:rsid w:val="00A80359"/>
    <w:rsid w:val="00A81713"/>
    <w:rsid w:val="00A91731"/>
    <w:rsid w:val="00A91B46"/>
    <w:rsid w:val="00A928F9"/>
    <w:rsid w:val="00A97C3B"/>
    <w:rsid w:val="00AA1A9A"/>
    <w:rsid w:val="00AA6863"/>
    <w:rsid w:val="00AC26B3"/>
    <w:rsid w:val="00AC4C3A"/>
    <w:rsid w:val="00AC6651"/>
    <w:rsid w:val="00AD429E"/>
    <w:rsid w:val="00AD6D65"/>
    <w:rsid w:val="00AE0B1C"/>
    <w:rsid w:val="00AE669A"/>
    <w:rsid w:val="00AF4771"/>
    <w:rsid w:val="00AF652D"/>
    <w:rsid w:val="00AF6660"/>
    <w:rsid w:val="00AF676C"/>
    <w:rsid w:val="00B0356B"/>
    <w:rsid w:val="00B06279"/>
    <w:rsid w:val="00B07DEC"/>
    <w:rsid w:val="00B336DA"/>
    <w:rsid w:val="00B36599"/>
    <w:rsid w:val="00B40D83"/>
    <w:rsid w:val="00B4247E"/>
    <w:rsid w:val="00B444A9"/>
    <w:rsid w:val="00B4458E"/>
    <w:rsid w:val="00B517F6"/>
    <w:rsid w:val="00B57826"/>
    <w:rsid w:val="00B7278A"/>
    <w:rsid w:val="00B831F5"/>
    <w:rsid w:val="00B94267"/>
    <w:rsid w:val="00B95653"/>
    <w:rsid w:val="00B9771A"/>
    <w:rsid w:val="00B97F65"/>
    <w:rsid w:val="00BA3385"/>
    <w:rsid w:val="00BA4854"/>
    <w:rsid w:val="00BA5E2D"/>
    <w:rsid w:val="00BA6231"/>
    <w:rsid w:val="00BB0747"/>
    <w:rsid w:val="00BB087C"/>
    <w:rsid w:val="00BB5311"/>
    <w:rsid w:val="00BC1288"/>
    <w:rsid w:val="00BC17B5"/>
    <w:rsid w:val="00BC266F"/>
    <w:rsid w:val="00BC4466"/>
    <w:rsid w:val="00BC4CAD"/>
    <w:rsid w:val="00BC725C"/>
    <w:rsid w:val="00BD02A8"/>
    <w:rsid w:val="00BD512B"/>
    <w:rsid w:val="00BE56DA"/>
    <w:rsid w:val="00BE7CDB"/>
    <w:rsid w:val="00BF0429"/>
    <w:rsid w:val="00BF4C59"/>
    <w:rsid w:val="00C02B87"/>
    <w:rsid w:val="00C07247"/>
    <w:rsid w:val="00C1077A"/>
    <w:rsid w:val="00C12023"/>
    <w:rsid w:val="00C150B7"/>
    <w:rsid w:val="00C169C3"/>
    <w:rsid w:val="00C267D6"/>
    <w:rsid w:val="00C27B9F"/>
    <w:rsid w:val="00C363BD"/>
    <w:rsid w:val="00C50F2E"/>
    <w:rsid w:val="00C55384"/>
    <w:rsid w:val="00C62758"/>
    <w:rsid w:val="00C63E93"/>
    <w:rsid w:val="00C656F2"/>
    <w:rsid w:val="00C66E85"/>
    <w:rsid w:val="00C70378"/>
    <w:rsid w:val="00C77058"/>
    <w:rsid w:val="00C80760"/>
    <w:rsid w:val="00C8327F"/>
    <w:rsid w:val="00C92676"/>
    <w:rsid w:val="00CA29BA"/>
    <w:rsid w:val="00CA3D0A"/>
    <w:rsid w:val="00CA533C"/>
    <w:rsid w:val="00CB0F0E"/>
    <w:rsid w:val="00CB2D4D"/>
    <w:rsid w:val="00CC2D6E"/>
    <w:rsid w:val="00CC794F"/>
    <w:rsid w:val="00CD6DD8"/>
    <w:rsid w:val="00CE673E"/>
    <w:rsid w:val="00CF3072"/>
    <w:rsid w:val="00D00688"/>
    <w:rsid w:val="00D14EE5"/>
    <w:rsid w:val="00D16056"/>
    <w:rsid w:val="00D20FB8"/>
    <w:rsid w:val="00D21C13"/>
    <w:rsid w:val="00D22E79"/>
    <w:rsid w:val="00D306E3"/>
    <w:rsid w:val="00D465A7"/>
    <w:rsid w:val="00D50BF1"/>
    <w:rsid w:val="00D50C56"/>
    <w:rsid w:val="00D61486"/>
    <w:rsid w:val="00D6508E"/>
    <w:rsid w:val="00D70163"/>
    <w:rsid w:val="00D863E0"/>
    <w:rsid w:val="00D90128"/>
    <w:rsid w:val="00D919E3"/>
    <w:rsid w:val="00D9589C"/>
    <w:rsid w:val="00DA04B3"/>
    <w:rsid w:val="00DA10A9"/>
    <w:rsid w:val="00DA1B87"/>
    <w:rsid w:val="00DA2F6E"/>
    <w:rsid w:val="00DA654E"/>
    <w:rsid w:val="00DB1B4C"/>
    <w:rsid w:val="00DB25C4"/>
    <w:rsid w:val="00DB2F28"/>
    <w:rsid w:val="00DC14B8"/>
    <w:rsid w:val="00DC150D"/>
    <w:rsid w:val="00DC3434"/>
    <w:rsid w:val="00DC45B2"/>
    <w:rsid w:val="00DD30BA"/>
    <w:rsid w:val="00DE4F2A"/>
    <w:rsid w:val="00DE7754"/>
    <w:rsid w:val="00E02A51"/>
    <w:rsid w:val="00E03D1A"/>
    <w:rsid w:val="00E16F27"/>
    <w:rsid w:val="00E17586"/>
    <w:rsid w:val="00E211E0"/>
    <w:rsid w:val="00E26679"/>
    <w:rsid w:val="00E32CBB"/>
    <w:rsid w:val="00E37320"/>
    <w:rsid w:val="00E416F8"/>
    <w:rsid w:val="00E50733"/>
    <w:rsid w:val="00E51AD0"/>
    <w:rsid w:val="00E54711"/>
    <w:rsid w:val="00E57616"/>
    <w:rsid w:val="00E57BF3"/>
    <w:rsid w:val="00E66207"/>
    <w:rsid w:val="00E81084"/>
    <w:rsid w:val="00E844F4"/>
    <w:rsid w:val="00E84CEA"/>
    <w:rsid w:val="00E851A3"/>
    <w:rsid w:val="00E90129"/>
    <w:rsid w:val="00E91A29"/>
    <w:rsid w:val="00EA1B35"/>
    <w:rsid w:val="00EB34D0"/>
    <w:rsid w:val="00EC2673"/>
    <w:rsid w:val="00EE1AA0"/>
    <w:rsid w:val="00EE5784"/>
    <w:rsid w:val="00EE7E3B"/>
    <w:rsid w:val="00EF5874"/>
    <w:rsid w:val="00F01F44"/>
    <w:rsid w:val="00F0394C"/>
    <w:rsid w:val="00F07553"/>
    <w:rsid w:val="00F143B4"/>
    <w:rsid w:val="00F20474"/>
    <w:rsid w:val="00F21567"/>
    <w:rsid w:val="00F25741"/>
    <w:rsid w:val="00F25AF8"/>
    <w:rsid w:val="00F26BC8"/>
    <w:rsid w:val="00F3293D"/>
    <w:rsid w:val="00F45A85"/>
    <w:rsid w:val="00F616CD"/>
    <w:rsid w:val="00F64C0A"/>
    <w:rsid w:val="00F70E2C"/>
    <w:rsid w:val="00F7160E"/>
    <w:rsid w:val="00F74CCB"/>
    <w:rsid w:val="00F76649"/>
    <w:rsid w:val="00F800EF"/>
    <w:rsid w:val="00F81D4D"/>
    <w:rsid w:val="00F8293D"/>
    <w:rsid w:val="00F90571"/>
    <w:rsid w:val="00F9476B"/>
    <w:rsid w:val="00F95911"/>
    <w:rsid w:val="00FA23F5"/>
    <w:rsid w:val="00FA3A1B"/>
    <w:rsid w:val="00FA3EF8"/>
    <w:rsid w:val="00FA5B20"/>
    <w:rsid w:val="00FB0F1B"/>
    <w:rsid w:val="00FC4FF5"/>
    <w:rsid w:val="00FD768E"/>
    <w:rsid w:val="00FD7B85"/>
    <w:rsid w:val="00FE1B1B"/>
    <w:rsid w:val="00FE3CF1"/>
    <w:rsid w:val="00FE7232"/>
    <w:rsid w:val="00FF0E29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6D50A14-2972-49F0-9B47-0559526D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486"/>
    <w:pPr>
      <w:spacing w:line="260" w:lineRule="atLeast"/>
      <w:jc w:val="both"/>
    </w:pPr>
    <w:rPr>
      <w:rFonts w:ascii="Palatino Linotype" w:hAnsi="Palatino Linotype"/>
      <w:noProof/>
      <w:color w:val="00000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003EB"/>
    <w:pPr>
      <w:spacing w:before="100" w:beforeAutospacing="1" w:after="100" w:afterAutospacing="1" w:line="240" w:lineRule="auto"/>
      <w:jc w:val="left"/>
      <w:outlineLvl w:val="0"/>
    </w:pPr>
    <w:rPr>
      <w:rFonts w:ascii="PMingLiU" w:eastAsia="PMingLiU" w:hAnsi="PMingLiU" w:cs="PMingLiU"/>
      <w:b/>
      <w:bCs/>
      <w:noProof w:val="0"/>
      <w:color w:val="auto"/>
      <w:kern w:val="36"/>
      <w:sz w:val="48"/>
      <w:szCs w:val="48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BD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3EB"/>
    <w:rPr>
      <w:rFonts w:ascii="PMingLiU" w:eastAsia="PMingLiU" w:hAnsi="PMingLiU" w:cs="PMingLiU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3BD"/>
    <w:rPr>
      <w:rFonts w:asciiTheme="majorHAnsi" w:eastAsiaTheme="majorEastAsia" w:hAnsiTheme="majorHAnsi" w:cstheme="majorBidi"/>
      <w:b/>
      <w:bCs/>
      <w:noProof/>
      <w:color w:val="000000"/>
      <w:sz w:val="36"/>
      <w:szCs w:val="36"/>
      <w:lang w:eastAsia="zh-CN"/>
    </w:rPr>
  </w:style>
  <w:style w:type="paragraph" w:customStyle="1" w:styleId="MDPI11articletype">
    <w:name w:val="MDPI_1.1_article_type"/>
    <w:next w:val="Normal"/>
    <w:qFormat/>
    <w:rsid w:val="00D61486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D61486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D61486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D61486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D61486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D61486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D61486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6E06CC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D61486"/>
    <w:pPr>
      <w:spacing w:line="260" w:lineRule="atLeast"/>
      <w:jc w:val="both"/>
    </w:pPr>
    <w:rPr>
      <w:rFonts w:ascii="Palatino Linotype" w:hAnsi="Palatino Linotype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D61486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rsid w:val="00D61486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D61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D61486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D61486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D61486"/>
    <w:pPr>
      <w:ind w:firstLine="0"/>
    </w:pPr>
  </w:style>
  <w:style w:type="paragraph" w:customStyle="1" w:styleId="MDPI31text">
    <w:name w:val="MDPI_3.1_text"/>
    <w:qFormat/>
    <w:rsid w:val="005659D9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D61486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D61486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D61486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D61486"/>
    <w:pPr>
      <w:numPr>
        <w:numId w:val="1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D61486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D61486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D61486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D61486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E844F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D61486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D61486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D61486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D61486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D61486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D61486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link w:val="MDPI71References0"/>
    <w:qFormat/>
    <w:rsid w:val="00862478"/>
    <w:pPr>
      <w:numPr>
        <w:numId w:val="1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MDPI71References0">
    <w:name w:val="MDPI_7.1_References 字元"/>
    <w:basedOn w:val="DefaultParagraphFont"/>
    <w:link w:val="MDPI71References"/>
    <w:rsid w:val="00CA533C"/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D61486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D61486"/>
    <w:rPr>
      <w:rFonts w:ascii="Palatino Linotype" w:hAnsi="Palatino Linotype" w:cs="Tahoma"/>
      <w:noProof/>
      <w:color w:val="000000"/>
      <w:szCs w:val="18"/>
      <w:lang w:eastAsia="zh-CN"/>
    </w:rPr>
  </w:style>
  <w:style w:type="character" w:styleId="LineNumber">
    <w:name w:val="line number"/>
    <w:uiPriority w:val="99"/>
    <w:rsid w:val="003A37F1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D61486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Ind w:w="0" w:type="dxa"/>
      <w:tblBorders>
        <w:top w:val="single" w:sz="8" w:space="0" w:color="auto"/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rPr>
        <w:rFonts w:ascii="Calibri" w:hAnsi="Calibri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rsid w:val="00D61486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393997"/>
    <w:rPr>
      <w:color w:val="605E5C"/>
      <w:shd w:val="clear" w:color="auto" w:fill="E1DFDD"/>
    </w:rPr>
  </w:style>
  <w:style w:type="table" w:customStyle="1" w:styleId="41">
    <w:name w:val="純表格 41"/>
    <w:basedOn w:val="TableNormal"/>
    <w:uiPriority w:val="44"/>
    <w:rsid w:val="00C169C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61486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D61486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D61486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  <w:lang w:eastAsia="zh-CN"/>
    </w:rPr>
  </w:style>
  <w:style w:type="paragraph" w:customStyle="1" w:styleId="MDPI62BackMatter">
    <w:name w:val="MDPI_6.2_BackMatter"/>
    <w:qFormat/>
    <w:rsid w:val="00D61486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D61486"/>
    <w:pPr>
      <w:adjustRightInd w:val="0"/>
      <w:snapToGrid w:val="0"/>
      <w:spacing w:after="120" w:line="240" w:lineRule="atLeast"/>
      <w:ind w:right="113"/>
    </w:pPr>
    <w:rPr>
      <w:rFonts w:ascii="Palatino Linotype" w:hAnsi="Palatino Linotype"/>
      <w:snapToGrid w:val="0"/>
      <w:color w:val="000000"/>
      <w:sz w:val="14"/>
      <w:lang w:eastAsia="en-US" w:bidi="en-US"/>
    </w:rPr>
  </w:style>
  <w:style w:type="paragraph" w:customStyle="1" w:styleId="MDPI15academiceditor">
    <w:name w:val="MDPI_1.5_academic_editor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D61486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eastAsia="zh-CN" w:bidi="en-US"/>
    </w:rPr>
  </w:style>
  <w:style w:type="paragraph" w:customStyle="1" w:styleId="MDPI511onefigurecaption">
    <w:name w:val="MDPI_5.1.1_one_figure_caption"/>
    <w:qFormat/>
    <w:rsid w:val="00D61486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eastAsia="zh-CN" w:bidi="en-US"/>
    </w:rPr>
  </w:style>
  <w:style w:type="paragraph" w:customStyle="1" w:styleId="MDPI72Copyright">
    <w:name w:val="MDPI_7.2_Copyright"/>
    <w:qFormat/>
    <w:rsid w:val="00D61486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D61486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D61486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D61486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D61486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D61486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D61486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D61486"/>
    <w:rPr>
      <w:rFonts w:ascii="Palatino Linotype" w:hAnsi="Palatino Linotype"/>
      <w:color w:val="000000"/>
      <w:lang w:val="en-CA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DPItext">
    <w:name w:val="MDPI_text"/>
    <w:qFormat/>
    <w:rsid w:val="00D61486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D61486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D61486"/>
  </w:style>
  <w:style w:type="paragraph" w:styleId="Bibliography">
    <w:name w:val="Bibliography"/>
    <w:basedOn w:val="Normal"/>
    <w:next w:val="Normal"/>
    <w:uiPriority w:val="37"/>
    <w:semiHidden/>
    <w:unhideWhenUsed/>
    <w:rsid w:val="00D61486"/>
  </w:style>
  <w:style w:type="paragraph" w:styleId="BodyText">
    <w:name w:val="Body Text"/>
    <w:link w:val="BodyTextChar"/>
    <w:rsid w:val="00D61486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D61486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D61486"/>
    <w:rPr>
      <w:sz w:val="21"/>
      <w:szCs w:val="21"/>
    </w:rPr>
  </w:style>
  <w:style w:type="paragraph" w:styleId="CommentText">
    <w:name w:val="annotation text"/>
    <w:basedOn w:val="Normal"/>
    <w:link w:val="CommentTextChar"/>
    <w:rsid w:val="00D61486"/>
  </w:style>
  <w:style w:type="character" w:customStyle="1" w:styleId="CommentTextChar">
    <w:name w:val="Comment Text Char"/>
    <w:link w:val="CommentText"/>
    <w:rsid w:val="00D61486"/>
    <w:rPr>
      <w:rFonts w:ascii="Palatino Linotype" w:hAnsi="Palatino Linotype"/>
      <w:noProof/>
      <w:color w:val="00000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61486"/>
    <w:rPr>
      <w:b/>
      <w:bCs/>
    </w:rPr>
  </w:style>
  <w:style w:type="character" w:customStyle="1" w:styleId="CommentSubjectChar">
    <w:name w:val="Comment Subject Char"/>
    <w:link w:val="CommentSubject"/>
    <w:rsid w:val="00D61486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D61486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D61486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D61486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D61486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D61486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D61486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D61486"/>
    <w:rPr>
      <w:szCs w:val="24"/>
    </w:rPr>
  </w:style>
  <w:style w:type="paragraph" w:customStyle="1" w:styleId="MsoFootnoteText0">
    <w:name w:val="MsoFootnoteText"/>
    <w:basedOn w:val="NormalWeb"/>
    <w:qFormat/>
    <w:rsid w:val="00D61486"/>
    <w:rPr>
      <w:rFonts w:ascii="Times New Roman" w:hAnsi="Times New Roman"/>
    </w:rPr>
  </w:style>
  <w:style w:type="character" w:styleId="PageNumber">
    <w:name w:val="page number"/>
    <w:rsid w:val="00D61486"/>
  </w:style>
  <w:style w:type="character" w:styleId="PlaceholderText">
    <w:name w:val="Placeholder Text"/>
    <w:uiPriority w:val="99"/>
    <w:semiHidden/>
    <w:rsid w:val="00D61486"/>
    <w:rPr>
      <w:color w:val="808080"/>
    </w:rPr>
  </w:style>
  <w:style w:type="character" w:customStyle="1" w:styleId="a">
    <w:name w:val="無"/>
    <w:rsid w:val="005A2CEA"/>
  </w:style>
  <w:style w:type="character" w:customStyle="1" w:styleId="Hyperlink0">
    <w:name w:val="Hyperlink.0"/>
    <w:basedOn w:val="a"/>
    <w:rsid w:val="005A2CEA"/>
    <w:rPr>
      <w:rFonts w:ascii="Times New Roman" w:eastAsia="Times New Roman" w:hAnsi="Times New Roman" w:cs="Times New Roman"/>
      <w:color w:val="000000"/>
      <w:kern w:val="0"/>
      <w:u w:color="000000"/>
    </w:rPr>
  </w:style>
  <w:style w:type="paragraph" w:customStyle="1" w:styleId="Body">
    <w:name w:val="Body"/>
    <w:rsid w:val="005A2C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eastAsia="Arial Unicode MS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EndNoteBibliographyTitle">
    <w:name w:val="EndNote Bibliography Title"/>
    <w:basedOn w:val="Normal"/>
    <w:link w:val="EndNoteBibliographyTitle0"/>
    <w:rsid w:val="00CA533C"/>
    <w:pPr>
      <w:jc w:val="center"/>
    </w:pPr>
    <w:rPr>
      <w:sz w:val="18"/>
    </w:rPr>
  </w:style>
  <w:style w:type="character" w:customStyle="1" w:styleId="EndNoteBibliographyTitle0">
    <w:name w:val="EndNote Bibliography Title 字元"/>
    <w:basedOn w:val="MDPI71References0"/>
    <w:link w:val="EndNoteBibliographyTitle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customStyle="1" w:styleId="EndNoteBibliography">
    <w:name w:val="EndNote Bibliography"/>
    <w:basedOn w:val="Normal"/>
    <w:link w:val="EndNoteBibliography0"/>
    <w:rsid w:val="00CA533C"/>
    <w:pPr>
      <w:spacing w:line="240" w:lineRule="atLeast"/>
    </w:pPr>
    <w:rPr>
      <w:sz w:val="18"/>
    </w:rPr>
  </w:style>
  <w:style w:type="character" w:customStyle="1" w:styleId="EndNoteBibliography0">
    <w:name w:val="EndNote Bibliography 字元"/>
    <w:basedOn w:val="MDPI71References0"/>
    <w:link w:val="EndNoteBibliography"/>
    <w:rsid w:val="00CA533C"/>
    <w:rPr>
      <w:rFonts w:ascii="Palatino Linotype" w:eastAsia="Times New Roman" w:hAnsi="Palatino Linotype"/>
      <w:noProof/>
      <w:color w:val="000000"/>
      <w:sz w:val="18"/>
      <w:lang w:eastAsia="zh-CN" w:bidi="en-US"/>
    </w:rPr>
  </w:style>
  <w:style w:type="paragraph" w:styleId="NoSpacing">
    <w:name w:val="No Spacing"/>
    <w:link w:val="NoSpacingChar"/>
    <w:uiPriority w:val="1"/>
    <w:qFormat/>
    <w:rsid w:val="00634287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634287"/>
    <w:rPr>
      <w:rFonts w:asciiTheme="minorHAnsi" w:eastAsiaTheme="minorEastAsia" w:hAnsiTheme="minorHAnsi" w:cstheme="minorBidi"/>
      <w:kern w:val="2"/>
      <w:sz w:val="24"/>
      <w:szCs w:val="22"/>
    </w:rPr>
  </w:style>
  <w:style w:type="table" w:customStyle="1" w:styleId="11">
    <w:name w:val="清單表格 1 淺色1"/>
    <w:basedOn w:val="TableNormal"/>
    <w:uiPriority w:val="46"/>
    <w:rsid w:val="00022D4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">
    <w:name w:val="p"/>
    <w:basedOn w:val="Normal"/>
    <w:rsid w:val="005803BD"/>
    <w:pPr>
      <w:spacing w:before="100" w:beforeAutospacing="1" w:after="100" w:afterAutospacing="1" w:line="240" w:lineRule="auto"/>
      <w:jc w:val="left"/>
    </w:pPr>
    <w:rPr>
      <w:rFonts w:ascii="PMingLiU" w:eastAsia="PMingLiU" w:hAnsi="PMingLiU" w:cs="PMingLiU"/>
      <w:noProof w:val="0"/>
      <w:color w:val="auto"/>
      <w:sz w:val="24"/>
      <w:szCs w:val="24"/>
      <w:lang w:eastAsia="zh-TW"/>
    </w:rPr>
  </w:style>
  <w:style w:type="character" w:customStyle="1" w:styleId="il">
    <w:name w:val="il"/>
    <w:basedOn w:val="DefaultParagraphFont"/>
    <w:rsid w:val="0057306D"/>
  </w:style>
  <w:style w:type="paragraph" w:styleId="Revision">
    <w:name w:val="Revision"/>
    <w:hidden/>
    <w:uiPriority w:val="99"/>
    <w:semiHidden/>
    <w:rsid w:val="00E57BF3"/>
    <w:rPr>
      <w:rFonts w:ascii="Palatino Linotype" w:hAnsi="Palatino Linotype"/>
      <w:noProof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40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+2020-PSMC123\final\genes-template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AF38-BAF3-4D7F-A054-5622609B6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genes-template.dot</Template>
  <TotalTime>111</TotalTime>
  <Pages>4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creator>MDL</dc:creator>
  <cp:lastModifiedBy>Envisage-3</cp:lastModifiedBy>
  <cp:revision>21</cp:revision>
  <cp:lastPrinted>2021-06-19T11:01:00Z</cp:lastPrinted>
  <dcterms:created xsi:type="dcterms:W3CDTF">2021-06-19T10:22:00Z</dcterms:created>
  <dcterms:modified xsi:type="dcterms:W3CDTF">2021-07-14T06:55:00Z</dcterms:modified>
</cp:coreProperties>
</file>